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7D9" w:rsidRPr="00A25A4C" w:rsidRDefault="00FB37D9" w:rsidP="00A25A4C">
      <w:pPr>
        <w:pStyle w:val="a8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bookmark158"/>
      <w:r w:rsidRPr="00A25A4C">
        <w:rPr>
          <w:b/>
          <w:bCs/>
          <w:kern w:val="36"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Pr="00A25A4C">
        <w:rPr>
          <w:b/>
          <w:sz w:val="28"/>
          <w:szCs w:val="28"/>
        </w:rPr>
        <w:t>ЖЕЛУДОЧНО-КИШЕЧНОМ КРОВОТЕЧЕНИИ</w:t>
      </w:r>
    </w:p>
    <w:p w:rsidR="00FB37D9" w:rsidRDefault="00FB37D9" w:rsidP="00D53D19">
      <w:pPr>
        <w:pStyle w:val="a8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B37D9" w:rsidRPr="009032AA" w:rsidRDefault="00FB37D9" w:rsidP="00D53D19">
      <w:pPr>
        <w:pStyle w:val="a8"/>
        <w:suppressAutoHyphens/>
        <w:spacing w:before="0" w:beforeAutospacing="0" w:after="0" w:afterAutospacing="0"/>
        <w:ind w:firstLine="708"/>
        <w:jc w:val="both"/>
        <w:rPr>
          <w:caps/>
          <w:sz w:val="28"/>
          <w:szCs w:val="28"/>
        </w:rPr>
      </w:pPr>
      <w:r w:rsidRPr="009032AA">
        <w:rPr>
          <w:sz w:val="28"/>
          <w:szCs w:val="28"/>
        </w:rPr>
        <w:t xml:space="preserve">Автор: </w:t>
      </w:r>
      <w:r>
        <w:rPr>
          <w:sz w:val="28"/>
          <w:szCs w:val="28"/>
        </w:rPr>
        <w:t>В.Г.</w:t>
      </w:r>
      <w:r w:rsidRPr="009032AA">
        <w:rPr>
          <w:sz w:val="28"/>
          <w:szCs w:val="28"/>
        </w:rPr>
        <w:t xml:space="preserve">Вербицкий, </w:t>
      </w:r>
      <w:r>
        <w:rPr>
          <w:sz w:val="28"/>
          <w:szCs w:val="28"/>
        </w:rPr>
        <w:t xml:space="preserve">д.м.н., </w:t>
      </w:r>
      <w:r w:rsidRPr="009032AA">
        <w:rPr>
          <w:sz w:val="28"/>
          <w:szCs w:val="28"/>
        </w:rPr>
        <w:t>профессор</w:t>
      </w:r>
      <w:r>
        <w:rPr>
          <w:sz w:val="28"/>
          <w:szCs w:val="28"/>
        </w:rPr>
        <w:t>,</w:t>
      </w:r>
      <w:r w:rsidRPr="009032AA">
        <w:rPr>
          <w:sz w:val="28"/>
          <w:szCs w:val="28"/>
        </w:rPr>
        <w:t xml:space="preserve"> и.о. заведующего кафедрой факультетской хирургии медицинского факультета СПбГУ, ведущий научный сотрудник отдела неотложной хирургии СПб НИИ скорой помощи им. И.И. Джанелидзе</w:t>
      </w:r>
    </w:p>
    <w:p w:rsidR="00FB37D9" w:rsidRPr="00A25A4C" w:rsidRDefault="00FB37D9" w:rsidP="00D53D19">
      <w:pPr>
        <w:pStyle w:val="a8"/>
        <w:tabs>
          <w:tab w:val="left" w:pos="1305"/>
        </w:tabs>
        <w:suppressAutoHyphens/>
        <w:spacing w:before="0" w:beforeAutospacing="0" w:after="0" w:afterAutospacing="0"/>
        <w:rPr>
          <w:sz w:val="28"/>
          <w:szCs w:val="28"/>
        </w:rPr>
      </w:pPr>
    </w:p>
    <w:p w:rsidR="00FB37D9" w:rsidRPr="00A25A4C" w:rsidRDefault="00FB37D9" w:rsidP="00A25A4C">
      <w:pPr>
        <w:pStyle w:val="a8"/>
        <w:suppressAutoHyphens/>
        <w:spacing w:before="0" w:beforeAutospacing="0" w:after="0" w:afterAutospacing="0"/>
        <w:ind w:firstLine="708"/>
        <w:jc w:val="both"/>
        <w:rPr>
          <w:caps/>
          <w:sz w:val="28"/>
          <w:szCs w:val="28"/>
        </w:rPr>
      </w:pPr>
      <w:r w:rsidRPr="00A25A4C">
        <w:rPr>
          <w:caps/>
          <w:sz w:val="28"/>
          <w:szCs w:val="28"/>
        </w:rPr>
        <w:t xml:space="preserve">Определение. </w:t>
      </w:r>
    </w:p>
    <w:p w:rsidR="00FB37D9" w:rsidRPr="00A25A4C" w:rsidRDefault="00FB37D9" w:rsidP="00A25A4C">
      <w:pPr>
        <w:pStyle w:val="a8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  <w:r w:rsidRPr="00A25A4C">
        <w:rPr>
          <w:sz w:val="28"/>
          <w:szCs w:val="28"/>
          <w:shd w:val="clear" w:color="auto" w:fill="FFFFFF"/>
        </w:rPr>
        <w:t xml:space="preserve">Желудочно-кишечные кровотечения (ЖКК) – синдромальный диагноз, объединяющий осложненное кровотечением течение различных заболеваний </w:t>
      </w:r>
      <w:r w:rsidRPr="009032AA">
        <w:rPr>
          <w:sz w:val="28"/>
          <w:szCs w:val="28"/>
          <w:shd w:val="clear" w:color="auto" w:fill="FFFFFF"/>
        </w:rPr>
        <w:t>желудочно</w:t>
      </w:r>
      <w:r>
        <w:rPr>
          <w:sz w:val="28"/>
          <w:szCs w:val="28"/>
          <w:shd w:val="clear" w:color="auto" w:fill="FFFFFF"/>
        </w:rPr>
        <w:t>-кишечного тракта (ЖКТ)</w:t>
      </w:r>
      <w:r w:rsidRPr="00A25A4C">
        <w:rPr>
          <w:sz w:val="28"/>
          <w:szCs w:val="28"/>
          <w:shd w:val="clear" w:color="auto" w:fill="FFFFFF"/>
        </w:rPr>
        <w:t xml:space="preserve"> (более 100).  </w:t>
      </w:r>
      <w:r w:rsidRPr="00A25A4C">
        <w:rPr>
          <w:rStyle w:val="11"/>
          <w:color w:val="000000"/>
          <w:sz w:val="28"/>
          <w:szCs w:val="28"/>
        </w:rPr>
        <w:t>Массивные желудочно-кишечные кровотечения нередко (10-15%) являются причиной развития угрожающего жизни геморрагического шока.</w:t>
      </w:r>
    </w:p>
    <w:p w:rsidR="00FB37D9" w:rsidRDefault="00FB37D9" w:rsidP="00A25A4C">
      <w:pPr>
        <w:pStyle w:val="a8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8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ЭТИОЛОГИЯ И ПАТОГЕНЕЗ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Желудочно-кишечные кровотечения классифицируют по лока</w:t>
      </w:r>
      <w:r w:rsidRPr="00A25A4C">
        <w:rPr>
          <w:rStyle w:val="11"/>
          <w:color w:val="000000"/>
          <w:sz w:val="28"/>
          <w:szCs w:val="28"/>
        </w:rPr>
        <w:softHyphen/>
        <w:t>лизации и источнику, характеру (клиническому течению) и в зависимости от степени кровопотери.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512"/>
      </w:tblGrid>
      <w:tr w:rsidR="00FB37D9" w:rsidRPr="00A25A4C" w:rsidTr="00367E6C">
        <w:tc>
          <w:tcPr>
            <w:tcW w:w="2235" w:type="dxa"/>
          </w:tcPr>
          <w:p w:rsidR="00FB37D9" w:rsidRPr="00A25A4C" w:rsidRDefault="00FB37D9" w:rsidP="00367E6C">
            <w:pPr>
              <w:pStyle w:val="a9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A25A4C">
              <w:rPr>
                <w:sz w:val="28"/>
                <w:szCs w:val="28"/>
              </w:rPr>
              <w:t>Код по МКБ-10</w:t>
            </w:r>
          </w:p>
        </w:tc>
        <w:tc>
          <w:tcPr>
            <w:tcW w:w="7512" w:type="dxa"/>
          </w:tcPr>
          <w:p w:rsidR="00FB37D9" w:rsidRPr="00A25A4C" w:rsidRDefault="00FB37D9" w:rsidP="00367E6C">
            <w:pPr>
              <w:pStyle w:val="a9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A25A4C">
              <w:rPr>
                <w:sz w:val="28"/>
                <w:szCs w:val="28"/>
              </w:rPr>
              <w:t>Нозологическая форма</w:t>
            </w:r>
          </w:p>
        </w:tc>
      </w:tr>
      <w:tr w:rsidR="00FB37D9" w:rsidRPr="00A25A4C" w:rsidTr="00367E6C">
        <w:tc>
          <w:tcPr>
            <w:tcW w:w="2235" w:type="dxa"/>
          </w:tcPr>
          <w:p w:rsidR="00FB37D9" w:rsidRPr="00A25A4C" w:rsidRDefault="00FB37D9" w:rsidP="00367E6C">
            <w:pPr>
              <w:pStyle w:val="a9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A25A4C">
              <w:rPr>
                <w:sz w:val="28"/>
                <w:szCs w:val="28"/>
              </w:rPr>
              <w:t>K92.2</w:t>
            </w:r>
          </w:p>
        </w:tc>
        <w:tc>
          <w:tcPr>
            <w:tcW w:w="7512" w:type="dxa"/>
          </w:tcPr>
          <w:p w:rsidR="00FB37D9" w:rsidRPr="00A25A4C" w:rsidRDefault="00FB37D9" w:rsidP="00367E6C">
            <w:pPr>
              <w:pStyle w:val="a9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A25A4C">
              <w:rPr>
                <w:sz w:val="28"/>
                <w:szCs w:val="28"/>
              </w:rPr>
              <w:t>Желудочно-кишечное кровотечение неуточненное</w:t>
            </w:r>
          </w:p>
        </w:tc>
      </w:tr>
    </w:tbl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11"/>
          <w:color w:val="000000"/>
          <w:sz w:val="28"/>
          <w:szCs w:val="28"/>
        </w:rPr>
      </w:pPr>
    </w:p>
    <w:p w:rsidR="00FB37D9" w:rsidRDefault="00FB37D9" w:rsidP="002B0E18">
      <w:pPr>
        <w:pStyle w:val="12"/>
        <w:shd w:val="clear" w:color="auto" w:fill="auto"/>
        <w:suppressAutoHyphens/>
        <w:spacing w:line="240" w:lineRule="auto"/>
        <w:ind w:firstLine="708"/>
        <w:jc w:val="both"/>
        <w:rPr>
          <w:rStyle w:val="a7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Выделяют кровотечения из верхних отделов ЖКТ (80% случаев), когда источник кровотечения располагается в пищеводе, желудке, двенадцатиперс</w:t>
      </w:r>
      <w:r w:rsidRPr="00A25A4C">
        <w:rPr>
          <w:rStyle w:val="11"/>
          <w:color w:val="000000"/>
          <w:sz w:val="28"/>
          <w:szCs w:val="28"/>
        </w:rPr>
        <w:softHyphen/>
        <w:t>тной кишке (проксимальнее связки Трейтца), и нижних отделов ЖКТ — ис</w:t>
      </w:r>
      <w:r w:rsidRPr="00A25A4C">
        <w:rPr>
          <w:rStyle w:val="11"/>
          <w:color w:val="000000"/>
          <w:sz w:val="28"/>
          <w:szCs w:val="28"/>
        </w:rPr>
        <w:softHyphen/>
        <w:t>точник в тощей и подвздошной (5%), толстой кишках (15%) (см. табл</w:t>
      </w:r>
      <w:r>
        <w:rPr>
          <w:rStyle w:val="11"/>
          <w:color w:val="000000"/>
          <w:sz w:val="28"/>
          <w:szCs w:val="28"/>
        </w:rPr>
        <w:t>ицу 1</w:t>
      </w:r>
      <w:r w:rsidRPr="00A25A4C">
        <w:rPr>
          <w:rStyle w:val="11"/>
          <w:color w:val="000000"/>
          <w:sz w:val="28"/>
          <w:szCs w:val="28"/>
        </w:rPr>
        <w:t>).</w:t>
      </w:r>
      <w:r w:rsidRPr="00A25A4C">
        <w:rPr>
          <w:rStyle w:val="a7"/>
          <w:color w:val="000000"/>
          <w:sz w:val="28"/>
          <w:szCs w:val="28"/>
        </w:rPr>
        <w:t xml:space="preserve"> </w:t>
      </w:r>
    </w:p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a7"/>
          <w:color w:val="000000"/>
          <w:sz w:val="28"/>
          <w:szCs w:val="28"/>
        </w:rPr>
      </w:pPr>
    </w:p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a7"/>
          <w:color w:val="000000"/>
          <w:sz w:val="28"/>
          <w:szCs w:val="28"/>
        </w:rPr>
      </w:pPr>
      <w:r w:rsidRPr="00A25A4C">
        <w:rPr>
          <w:rStyle w:val="a7"/>
          <w:color w:val="000000"/>
          <w:sz w:val="28"/>
          <w:szCs w:val="28"/>
        </w:rPr>
        <w:t>Таблица</w:t>
      </w:r>
      <w:r>
        <w:rPr>
          <w:rStyle w:val="a7"/>
          <w:color w:val="000000"/>
          <w:sz w:val="28"/>
          <w:szCs w:val="28"/>
        </w:rPr>
        <w:t xml:space="preserve"> 1-</w:t>
      </w:r>
      <w:r w:rsidRPr="00A25A4C">
        <w:rPr>
          <w:rStyle w:val="a7"/>
          <w:color w:val="000000"/>
          <w:sz w:val="28"/>
          <w:szCs w:val="28"/>
        </w:rPr>
        <w:t xml:space="preserve"> Причины желудочно-кишечных кровотечений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  <w:gridCol w:w="4536"/>
      </w:tblGrid>
      <w:tr w:rsidR="00FB37D9" w:rsidRPr="00A25A4C" w:rsidTr="00D53D19">
        <w:tc>
          <w:tcPr>
            <w:tcW w:w="4786" w:type="dxa"/>
          </w:tcPr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Из верхних отделов ЖКТ</w:t>
            </w:r>
          </w:p>
        </w:tc>
        <w:tc>
          <w:tcPr>
            <w:tcW w:w="4536" w:type="dxa"/>
          </w:tcPr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Из нижних отделов ЖКТ</w:t>
            </w:r>
          </w:p>
        </w:tc>
      </w:tr>
      <w:tr w:rsidR="00FB37D9" w:rsidRPr="00A25A4C" w:rsidTr="00D53D19">
        <w:tc>
          <w:tcPr>
            <w:tcW w:w="4786" w:type="dxa"/>
          </w:tcPr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Язва двенадцатиперстной кишки и/или желудка - 45%.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Эрозивно-язвенные поражения слизистой оболочки (стрессовые, лекарственные, азотемические и др.) – 20%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Варикозно расширенные вены пищевода и желудка – 15%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Синдром Мэллори—Вейсс – 10%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Опухоли пищевода, желудка и двенад</w:t>
            </w:r>
            <w:r w:rsidRPr="00A73F78">
              <w:rPr>
                <w:rStyle w:val="11"/>
                <w:color w:val="000000"/>
                <w:sz w:val="28"/>
                <w:szCs w:val="28"/>
              </w:rPr>
              <w:softHyphen/>
              <w:t>цатиперстной кишки – 5%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Другие причины – 5%</w:t>
            </w:r>
          </w:p>
        </w:tc>
        <w:tc>
          <w:tcPr>
            <w:tcW w:w="4536" w:type="dxa"/>
          </w:tcPr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 xml:space="preserve">- Дивертикулит 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Style w:val="11"/>
                <w:color w:val="000000"/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Опухоли и полипы толстой кишки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Ангиодисплазия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 xml:space="preserve"> - Неспецифический язвенный колит и болезнь Крона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Геморрой</w:t>
            </w:r>
          </w:p>
          <w:p w:rsidR="00FB37D9" w:rsidRPr="00A73F78" w:rsidRDefault="00FB37D9" w:rsidP="00D53D19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73F78">
              <w:rPr>
                <w:rStyle w:val="11"/>
                <w:color w:val="000000"/>
                <w:sz w:val="28"/>
                <w:szCs w:val="28"/>
              </w:rPr>
              <w:t>- Инфекционные заболевания</w:t>
            </w:r>
          </w:p>
        </w:tc>
      </w:tr>
    </w:tbl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a7"/>
          <w:color w:val="000000"/>
          <w:sz w:val="28"/>
          <w:szCs w:val="28"/>
        </w:rPr>
      </w:pPr>
    </w:p>
    <w:p w:rsidR="00FB37D9" w:rsidRDefault="00FB37D9" w:rsidP="00A25A4C">
      <w:pPr>
        <w:pStyle w:val="12"/>
        <w:shd w:val="clear" w:color="auto" w:fill="auto"/>
        <w:suppressAutoHyphens/>
        <w:spacing w:line="240" w:lineRule="auto"/>
        <w:jc w:val="both"/>
        <w:rPr>
          <w:rStyle w:val="a7"/>
          <w:color w:val="000000"/>
          <w:sz w:val="28"/>
          <w:szCs w:val="28"/>
        </w:rPr>
      </w:pPr>
    </w:p>
    <w:p w:rsidR="00FB37D9" w:rsidRPr="00A25A4C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 w:firstLine="708"/>
        <w:jc w:val="left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  <w:r w:rsidRPr="00A25A4C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Классификация ЖКК по клиническому течению: п</w:t>
      </w:r>
      <w:r w:rsidRPr="00A25A4C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родолжающееся, профузное (как правило, с геморрагическим шоком), остановившееся (состоявшееся) и рецидивное (повторное).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firstLine="60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Классификация по степени тяжести кровопотери</w:t>
      </w:r>
      <w:r w:rsidR="000A04F3">
        <w:rPr>
          <w:rStyle w:val="11"/>
          <w:color w:val="000000"/>
          <w:sz w:val="28"/>
          <w:szCs w:val="28"/>
        </w:rPr>
        <w:t xml:space="preserve"> (Лыткин М.И., Румянцев В.В., 1972)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FB37D9" w:rsidRPr="00A25A4C" w:rsidRDefault="00FB37D9" w:rsidP="002416FE">
      <w:pPr>
        <w:pStyle w:val="a3"/>
        <w:shd w:val="clear" w:color="auto" w:fill="auto"/>
        <w:tabs>
          <w:tab w:val="left" w:pos="0"/>
        </w:tabs>
        <w:suppressAutoHyphens/>
        <w:spacing w:after="0" w:line="240" w:lineRule="auto"/>
        <w:ind w:right="60" w:firstLine="567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Лёгкие (степень I). Состояние удовлетворительное. Однократная рвота или однократный оформленный стул чёрного цвета. ЧСС 80—100 в ми</w:t>
      </w:r>
      <w:r w:rsidRPr="00A25A4C">
        <w:rPr>
          <w:rStyle w:val="11"/>
          <w:color w:val="000000"/>
          <w:sz w:val="28"/>
          <w:szCs w:val="28"/>
        </w:rPr>
        <w:softHyphen/>
        <w:t>нуту; систолическое АД &gt;</w:t>
      </w:r>
      <w:smartTag w:uri="urn:schemas-microsoft-com:office:smarttags" w:element="metricconverter">
        <w:smartTagPr>
          <w:attr w:name="ProductID" w:val="100 мм"/>
        </w:smartTagPr>
        <w:r w:rsidRPr="00A25A4C">
          <w:rPr>
            <w:rStyle w:val="11"/>
            <w:color w:val="000000"/>
            <w:sz w:val="28"/>
            <w:szCs w:val="28"/>
          </w:rPr>
          <w:t>100 мм</w:t>
        </w:r>
      </w:smartTag>
      <w:r w:rsidRPr="00A25A4C">
        <w:rPr>
          <w:rStyle w:val="11"/>
          <w:color w:val="000000"/>
          <w:sz w:val="28"/>
          <w:szCs w:val="28"/>
        </w:rPr>
        <w:t xml:space="preserve"> рт.ст.; диурез &gt;2 л/сут.</w:t>
      </w:r>
    </w:p>
    <w:p w:rsidR="00FB37D9" w:rsidRPr="00A25A4C" w:rsidRDefault="00FB37D9" w:rsidP="002416FE">
      <w:pPr>
        <w:pStyle w:val="a3"/>
        <w:shd w:val="clear" w:color="auto" w:fill="auto"/>
        <w:tabs>
          <w:tab w:val="left" w:pos="0"/>
        </w:tabs>
        <w:suppressAutoHyphens/>
        <w:spacing w:after="0" w:line="240" w:lineRule="auto"/>
        <w:ind w:right="60" w:firstLine="567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Средней степени тяжести (степень II). Состояние больного средней сте</w:t>
      </w:r>
      <w:r w:rsidRPr="00A25A4C">
        <w:rPr>
          <w:rStyle w:val="11"/>
          <w:color w:val="000000"/>
          <w:sz w:val="28"/>
          <w:szCs w:val="28"/>
        </w:rPr>
        <w:softHyphen/>
        <w:t>пени тяжести. Повторная рвота кровью или мелена. ЧСС 100—110 в минуту; систолическое АД 100—120 мм рт.ст.; диурез &lt;2 л/сут.</w:t>
      </w:r>
    </w:p>
    <w:p w:rsidR="00FB37D9" w:rsidRPr="002416FE" w:rsidRDefault="00FB37D9" w:rsidP="002416FE">
      <w:pPr>
        <w:pStyle w:val="a3"/>
        <w:shd w:val="clear" w:color="auto" w:fill="auto"/>
        <w:tabs>
          <w:tab w:val="left" w:pos="0"/>
        </w:tabs>
        <w:suppressAutoHyphens/>
        <w:spacing w:after="0" w:line="240" w:lineRule="auto"/>
        <w:ind w:right="60" w:firstLine="567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 xml:space="preserve">Тяжёлые (степень </w:t>
      </w:r>
      <w:r w:rsidRPr="00A25A4C">
        <w:rPr>
          <w:rStyle w:val="11"/>
          <w:color w:val="000000"/>
          <w:sz w:val="28"/>
          <w:szCs w:val="28"/>
          <w:lang w:val="en-US"/>
        </w:rPr>
        <w:t>III</w:t>
      </w:r>
      <w:r w:rsidRPr="00A25A4C">
        <w:rPr>
          <w:rStyle w:val="11"/>
          <w:color w:val="000000"/>
          <w:sz w:val="28"/>
          <w:szCs w:val="28"/>
        </w:rPr>
        <w:t xml:space="preserve">). Состояние тяжёлое; </w:t>
      </w:r>
      <w:r w:rsidR="000A04F3">
        <w:rPr>
          <w:rStyle w:val="11"/>
          <w:color w:val="000000"/>
          <w:sz w:val="28"/>
          <w:szCs w:val="28"/>
        </w:rPr>
        <w:t xml:space="preserve">возможно нарушение </w:t>
      </w:r>
      <w:r w:rsidRPr="00A25A4C">
        <w:rPr>
          <w:rStyle w:val="11"/>
          <w:color w:val="000000"/>
          <w:sz w:val="28"/>
          <w:szCs w:val="28"/>
        </w:rPr>
        <w:t>сознани</w:t>
      </w:r>
      <w:r w:rsidR="000A04F3">
        <w:rPr>
          <w:rStyle w:val="11"/>
          <w:color w:val="000000"/>
          <w:sz w:val="28"/>
          <w:szCs w:val="28"/>
        </w:rPr>
        <w:t>я</w:t>
      </w:r>
      <w:r w:rsidRPr="00A25A4C">
        <w:rPr>
          <w:rStyle w:val="11"/>
          <w:color w:val="000000"/>
          <w:sz w:val="28"/>
          <w:szCs w:val="28"/>
        </w:rPr>
        <w:t xml:space="preserve"> </w:t>
      </w:r>
      <w:r w:rsidRPr="002416FE">
        <w:rPr>
          <w:rStyle w:val="11"/>
          <w:color w:val="000000"/>
          <w:sz w:val="28"/>
          <w:szCs w:val="28"/>
        </w:rPr>
        <w:t>вплоть до комы. Повторная рвота малоизменённой кровью, жидкий дёгтеоб</w:t>
      </w:r>
      <w:r w:rsidRPr="002416FE">
        <w:rPr>
          <w:rStyle w:val="11"/>
          <w:color w:val="000000"/>
          <w:sz w:val="28"/>
          <w:szCs w:val="28"/>
        </w:rPr>
        <w:softHyphen/>
        <w:t>разный стул или стул малоизмененной кровью. ЧСС &gt;120 в минуту; систолическое АД &lt;</w:t>
      </w:r>
      <w:smartTag w:uri="urn:schemas-microsoft-com:office:smarttags" w:element="metricconverter">
        <w:smartTagPr>
          <w:attr w:name="ProductID" w:val="90 мм"/>
        </w:smartTagPr>
        <w:r w:rsidRPr="002416FE">
          <w:rPr>
            <w:rStyle w:val="11"/>
            <w:color w:val="000000"/>
            <w:sz w:val="28"/>
            <w:szCs w:val="28"/>
          </w:rPr>
          <w:t>90 мм</w:t>
        </w:r>
      </w:smartTag>
      <w:r w:rsidRPr="002416FE">
        <w:rPr>
          <w:rStyle w:val="11"/>
          <w:color w:val="000000"/>
          <w:sz w:val="28"/>
          <w:szCs w:val="28"/>
        </w:rPr>
        <w:t xml:space="preserve"> рт.ст. Олигурия, метаболический ацидоз.</w:t>
      </w:r>
    </w:p>
    <w:p w:rsidR="00FB37D9" w:rsidRPr="002416FE" w:rsidRDefault="00FB37D9" w:rsidP="002416F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</w:p>
    <w:p w:rsidR="00FB37D9" w:rsidRPr="002416FE" w:rsidRDefault="00FB37D9" w:rsidP="002416FE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6FE">
        <w:rPr>
          <w:rFonts w:ascii="Times New Roman" w:hAnsi="Times New Roman" w:cs="Times New Roman"/>
          <w:b/>
          <w:bCs/>
          <w:sz w:val="28"/>
          <w:szCs w:val="28"/>
        </w:rPr>
        <w:t xml:space="preserve">ОКАЗАНИЕ СКОРОЙ МЕДИЦИНСКОЙ ПОМОЩИ </w:t>
      </w:r>
    </w:p>
    <w:p w:rsidR="00FB37D9" w:rsidRPr="002416FE" w:rsidRDefault="00FB37D9" w:rsidP="002416FE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6FE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FB37D9" w:rsidRPr="002416FE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_GoBack"/>
      <w:bookmarkEnd w:id="1"/>
    </w:p>
    <w:p w:rsidR="00FB37D9" w:rsidRPr="002416FE" w:rsidRDefault="00FB37D9" w:rsidP="002416F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 w:firstLine="36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2416F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Основанием для  диагноза желудочно-кишечного кровотечения являются:</w:t>
      </w:r>
    </w:p>
    <w:p w:rsidR="00FB37D9" w:rsidRPr="00A25A4C" w:rsidRDefault="00FB37D9" w:rsidP="002416FE">
      <w:pPr>
        <w:pStyle w:val="a3"/>
        <w:shd w:val="clear" w:color="auto" w:fill="auto"/>
        <w:tabs>
          <w:tab w:val="left" w:pos="393"/>
        </w:tabs>
        <w:suppressAutoHyphens/>
        <w:spacing w:after="0" w:line="240" w:lineRule="auto"/>
        <w:ind w:firstLine="567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бледность кожных покровов,</w:t>
      </w:r>
      <w:r w:rsidRPr="00A25A4C">
        <w:rPr>
          <w:sz w:val="28"/>
          <w:szCs w:val="28"/>
          <w:shd w:val="clear" w:color="auto" w:fill="FFFFFF"/>
        </w:rPr>
        <w:t xml:space="preserve"> холодный липкий пот, головокружение, слабость (коллаптоидное состояние)</w:t>
      </w:r>
      <w:r w:rsidRPr="00A25A4C">
        <w:rPr>
          <w:rStyle w:val="11"/>
          <w:color w:val="000000"/>
          <w:sz w:val="28"/>
          <w:szCs w:val="28"/>
        </w:rPr>
        <w:t>;</w:t>
      </w:r>
    </w:p>
    <w:p w:rsidR="00FB37D9" w:rsidRPr="00A25A4C" w:rsidRDefault="00FB37D9" w:rsidP="002416FE">
      <w:pPr>
        <w:pStyle w:val="a3"/>
        <w:shd w:val="clear" w:color="auto" w:fill="auto"/>
        <w:tabs>
          <w:tab w:val="left" w:pos="393"/>
        </w:tabs>
        <w:suppressAutoHyphens/>
        <w:spacing w:after="0" w:line="240" w:lineRule="auto"/>
        <w:ind w:firstLine="567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частый и мягкий пульс, снижение АД.</w:t>
      </w:r>
    </w:p>
    <w:p w:rsidR="00FB37D9" w:rsidRPr="00A25A4C" w:rsidRDefault="00FB37D9" w:rsidP="002416FE">
      <w:pPr>
        <w:pStyle w:val="721"/>
        <w:keepNext/>
        <w:keepLines/>
        <w:suppressAutoHyphens/>
        <w:spacing w:before="0" w:after="0" w:line="240" w:lineRule="auto"/>
        <w:ind w:right="200" w:firstLine="567"/>
        <w:jc w:val="left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 </w:t>
      </w:r>
      <w:r w:rsidRPr="00A25A4C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рвота малоизмененной кровью и/или содержимым по типу «кофейной гущи»;</w:t>
      </w:r>
    </w:p>
    <w:p w:rsidR="00FB37D9" w:rsidRDefault="00FB37D9" w:rsidP="002416FE">
      <w:pPr>
        <w:pStyle w:val="721"/>
        <w:keepNext/>
        <w:keepLines/>
        <w:suppressAutoHyphens/>
        <w:spacing w:before="0" w:after="0" w:line="240" w:lineRule="auto"/>
        <w:ind w:right="200" w:firstLine="567"/>
        <w:jc w:val="left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 </w:t>
      </w:r>
      <w:r w:rsidRPr="00A25A4C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мелена и/или черный кал – самостоятельные или при пальцевом исследовании прямой кишки.</w:t>
      </w:r>
    </w:p>
    <w:p w:rsidR="00FB37D9" w:rsidRPr="00A25A4C" w:rsidRDefault="00FB37D9" w:rsidP="002416FE">
      <w:pPr>
        <w:pStyle w:val="721"/>
        <w:keepNext/>
        <w:keepLines/>
        <w:suppressAutoHyphens/>
        <w:spacing w:before="0" w:after="0" w:line="240" w:lineRule="auto"/>
        <w:ind w:left="720" w:right="200"/>
        <w:jc w:val="left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КЛИНИЧЕСКАЯ КАРТИНА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Выделяют скрытый период, когда отсутствуют очевидные признаки желудочно-кишечного кровотечения (общие симптомы) и период явных признаков (рвота, мелена).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При внутренних кровотечениях кровь может изливаться наружу неизменённой (ишемический колит, распад опухолей толстой и прямой кишок, острый геморрой), а также в виде рвоты, кровянистой слизи, мелены.</w:t>
      </w:r>
    </w:p>
    <w:p w:rsidR="00FB37D9" w:rsidRPr="00A25A4C" w:rsidRDefault="00FB37D9" w:rsidP="00A25A4C">
      <w:pPr>
        <w:pStyle w:val="91"/>
        <w:keepNext/>
        <w:keepLines/>
        <w:shd w:val="clear" w:color="auto" w:fill="auto"/>
        <w:tabs>
          <w:tab w:val="left" w:pos="168"/>
          <w:tab w:val="left" w:pos="268"/>
        </w:tabs>
        <w:suppressAutoHyphens/>
        <w:spacing w:line="240" w:lineRule="auto"/>
        <w:ind w:right="60" w:firstLine="0"/>
        <w:rPr>
          <w:rStyle w:val="90"/>
          <w:color w:val="000000"/>
          <w:sz w:val="28"/>
          <w:szCs w:val="28"/>
        </w:rPr>
      </w:pPr>
      <w:r w:rsidRPr="00A25A4C">
        <w:rPr>
          <w:rStyle w:val="90"/>
          <w:color w:val="000000"/>
          <w:sz w:val="28"/>
          <w:szCs w:val="28"/>
        </w:rPr>
        <w:t xml:space="preserve">  </w:t>
      </w:r>
      <w:r w:rsidRPr="00A25A4C">
        <w:rPr>
          <w:rStyle w:val="90"/>
          <w:color w:val="000000"/>
          <w:sz w:val="28"/>
          <w:szCs w:val="28"/>
        </w:rPr>
        <w:tab/>
      </w:r>
      <w:r w:rsidRPr="00A25A4C">
        <w:rPr>
          <w:rStyle w:val="90"/>
          <w:color w:val="000000"/>
          <w:sz w:val="28"/>
          <w:szCs w:val="28"/>
        </w:rPr>
        <w:tab/>
      </w:r>
      <w:r w:rsidRPr="00A25A4C">
        <w:rPr>
          <w:rStyle w:val="90"/>
          <w:color w:val="000000"/>
          <w:sz w:val="28"/>
          <w:szCs w:val="28"/>
        </w:rPr>
        <w:tab/>
        <w:t>Рвота:</w:t>
      </w:r>
    </w:p>
    <w:p w:rsidR="00FB37D9" w:rsidRPr="00A25A4C" w:rsidRDefault="00FB37D9" w:rsidP="00A25A4C">
      <w:pPr>
        <w:pStyle w:val="91"/>
        <w:keepNext/>
        <w:keepLines/>
        <w:shd w:val="clear" w:color="auto" w:fill="auto"/>
        <w:tabs>
          <w:tab w:val="left" w:pos="168"/>
          <w:tab w:val="left" w:pos="268"/>
        </w:tabs>
        <w:suppressAutoHyphens/>
        <w:spacing w:line="240" w:lineRule="auto"/>
        <w:ind w:right="60" w:firstLine="0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     </w:t>
      </w:r>
      <w:r w:rsidRPr="00A25A4C">
        <w:rPr>
          <w:rStyle w:val="11"/>
          <w:color w:val="000000"/>
          <w:sz w:val="28"/>
          <w:szCs w:val="28"/>
        </w:rPr>
        <w:tab/>
        <w:t>- алой кровью - синдром Мэллори—Вейсс, рак пищевода или кардии желудка;</w:t>
      </w:r>
    </w:p>
    <w:p w:rsidR="00FB37D9" w:rsidRPr="00A25A4C" w:rsidRDefault="00FB37D9" w:rsidP="00A25A4C">
      <w:pPr>
        <w:pStyle w:val="a3"/>
        <w:shd w:val="clear" w:color="auto" w:fill="auto"/>
        <w:tabs>
          <w:tab w:val="left" w:pos="388"/>
        </w:tabs>
        <w:suppressAutoHyphens/>
        <w:spacing w:after="0" w:line="240" w:lineRule="auto"/>
        <w:ind w:left="220" w:right="20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ab/>
      </w:r>
      <w:r w:rsidRPr="00A25A4C">
        <w:rPr>
          <w:rStyle w:val="11"/>
          <w:color w:val="000000"/>
          <w:sz w:val="28"/>
          <w:szCs w:val="28"/>
        </w:rPr>
        <w:tab/>
        <w:t>- тёмной кровью (кровотечения из варикозно расширенных вен пище</w:t>
      </w:r>
      <w:r w:rsidRPr="00A25A4C">
        <w:rPr>
          <w:rStyle w:val="11"/>
          <w:color w:val="000000"/>
          <w:sz w:val="28"/>
          <w:szCs w:val="28"/>
        </w:rPr>
        <w:softHyphen/>
        <w:t>вода и желудка при портальной гипертензии);</w:t>
      </w:r>
    </w:p>
    <w:p w:rsidR="00FB37D9" w:rsidRPr="00A25A4C" w:rsidRDefault="00FB37D9" w:rsidP="00A25A4C">
      <w:pPr>
        <w:pStyle w:val="a3"/>
        <w:shd w:val="clear" w:color="auto" w:fill="auto"/>
        <w:tabs>
          <w:tab w:val="left" w:pos="393"/>
        </w:tabs>
        <w:suppressAutoHyphens/>
        <w:spacing w:after="0" w:line="240" w:lineRule="auto"/>
        <w:ind w:left="220" w:right="20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ab/>
      </w:r>
      <w:r w:rsidRPr="00A25A4C">
        <w:rPr>
          <w:rStyle w:val="11"/>
          <w:color w:val="000000"/>
          <w:sz w:val="28"/>
          <w:szCs w:val="28"/>
        </w:rPr>
        <w:tab/>
        <w:t>- по типу «кофейной гущи» (кровотечения из хронической или острой язвы желудка и двенадцатиперстной кишки).</w:t>
      </w:r>
    </w:p>
    <w:p w:rsidR="00FB37D9" w:rsidRPr="00A25A4C" w:rsidRDefault="00FB37D9" w:rsidP="00A25A4C">
      <w:pPr>
        <w:pStyle w:val="a3"/>
        <w:shd w:val="clear" w:color="auto" w:fill="auto"/>
        <w:tabs>
          <w:tab w:val="left" w:pos="388"/>
        </w:tabs>
        <w:suppressAutoHyphens/>
        <w:spacing w:after="0" w:line="240" w:lineRule="auto"/>
        <w:ind w:left="220" w:right="20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lastRenderedPageBreak/>
        <w:tab/>
      </w:r>
      <w:r w:rsidRPr="00A25A4C">
        <w:rPr>
          <w:rStyle w:val="11"/>
          <w:color w:val="000000"/>
          <w:sz w:val="28"/>
          <w:szCs w:val="28"/>
        </w:rPr>
        <w:tab/>
        <w:t>Кровянистая слизь - дизентерия, неспецифический язвенный колит, трещина прямой кишки.</w:t>
      </w:r>
    </w:p>
    <w:p w:rsidR="00FB37D9" w:rsidRPr="00A25A4C" w:rsidRDefault="00FB37D9" w:rsidP="00A25A4C">
      <w:pPr>
        <w:pStyle w:val="a3"/>
        <w:shd w:val="clear" w:color="auto" w:fill="auto"/>
        <w:tabs>
          <w:tab w:val="left" w:pos="388"/>
        </w:tabs>
        <w:suppressAutoHyphens/>
        <w:spacing w:after="0" w:line="240" w:lineRule="auto"/>
        <w:ind w:left="220" w:right="20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ab/>
      </w:r>
      <w:r w:rsidRPr="00A25A4C">
        <w:rPr>
          <w:rStyle w:val="11"/>
          <w:color w:val="000000"/>
          <w:sz w:val="28"/>
          <w:szCs w:val="28"/>
        </w:rPr>
        <w:tab/>
        <w:t>Мелена (чёрный стул за счёт превращения гемоглобина в гемосидерин) — при кровотечении из верхних отделов ЖКТ.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firstLine="48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ВОЗМОЖНЫЕ ОСЛОЖНЕНИЯ.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firstLine="48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Наиболее тяжёлое осложнение — геморрагический шок.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right="20" w:firstLine="48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Кровотечение может привести к уменьшению или исчезновению призна</w:t>
      </w:r>
      <w:r w:rsidRPr="00A25A4C">
        <w:rPr>
          <w:rStyle w:val="11"/>
          <w:color w:val="000000"/>
          <w:sz w:val="28"/>
          <w:szCs w:val="28"/>
        </w:rPr>
        <w:softHyphen/>
        <w:t>ков основного заболевания, приведшего к этому осложнению, и спровоци</w:t>
      </w:r>
      <w:r w:rsidRPr="00A25A4C">
        <w:rPr>
          <w:rStyle w:val="11"/>
          <w:color w:val="000000"/>
          <w:sz w:val="28"/>
          <w:szCs w:val="28"/>
        </w:rPr>
        <w:softHyphen/>
        <w:t>ровать его обострение.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220" w:right="20" w:firstLine="48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У больных с патологией печени кровотечение может вызвать развитие пе</w:t>
      </w:r>
      <w:r w:rsidRPr="00A25A4C">
        <w:rPr>
          <w:rStyle w:val="11"/>
          <w:color w:val="000000"/>
          <w:sz w:val="28"/>
          <w:szCs w:val="28"/>
        </w:rPr>
        <w:softHyphen/>
        <w:t>чёночной недостаточности и энцефалопатии; при сочетании болезни, при</w:t>
      </w:r>
      <w:r w:rsidRPr="00A25A4C">
        <w:rPr>
          <w:rStyle w:val="11"/>
          <w:color w:val="000000"/>
          <w:sz w:val="28"/>
          <w:szCs w:val="28"/>
        </w:rPr>
        <w:softHyphen/>
        <w:t>ведшей к кровотечению, с ИБС может развиться приступ стенокардии или инфаркт миокарда, обострение гипертонической болезни, сахарного диабета, почечная недостаточность и т.п.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928" w:firstLine="0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928" w:firstLine="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ДИФФЕРЕНЦИАЛЬНАЯ ДИАГНОСТИКА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383"/>
        </w:tabs>
        <w:suppressAutoHyphens/>
        <w:spacing w:after="0" w:line="240" w:lineRule="auto"/>
        <w:ind w:right="20" w:firstLine="0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Лёгочное кровотечение, которое сопровождается кашлем и кровохар</w:t>
      </w:r>
      <w:r>
        <w:rPr>
          <w:rStyle w:val="11"/>
          <w:color w:val="000000"/>
          <w:sz w:val="28"/>
          <w:szCs w:val="28"/>
        </w:rPr>
        <w:t>к</w:t>
      </w:r>
      <w:r w:rsidRPr="00A25A4C">
        <w:rPr>
          <w:rStyle w:val="11"/>
          <w:color w:val="000000"/>
          <w:sz w:val="28"/>
          <w:szCs w:val="28"/>
        </w:rPr>
        <w:t>аньем (аррозия сосудов у больных с бронхоэктазами, пневмосклеро</w:t>
      </w:r>
      <w:r w:rsidRPr="00A25A4C">
        <w:rPr>
          <w:rStyle w:val="11"/>
          <w:color w:val="000000"/>
          <w:sz w:val="28"/>
          <w:szCs w:val="28"/>
        </w:rPr>
        <w:softHyphen/>
        <w:t>зом, а также при опухолях гортани и бронхов, туберкулёзе).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393"/>
        </w:tabs>
        <w:suppressAutoHyphens/>
        <w:spacing w:after="0" w:line="240" w:lineRule="auto"/>
        <w:ind w:right="20" w:firstLine="0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Нередко гипотензия при кровотечении вызывает приступ загрудинной боли и приводит к ЭКГ-признакам вторичной острой ишемии миокар</w:t>
      </w:r>
      <w:r w:rsidRPr="00A25A4C">
        <w:rPr>
          <w:rStyle w:val="11"/>
          <w:color w:val="000000"/>
          <w:sz w:val="28"/>
          <w:szCs w:val="28"/>
        </w:rPr>
        <w:softHyphen/>
        <w:t>да. Такое сочетание без явных признаков кровотечения способствует ошибочной диагностике ИБС и кардиогенного шока и госпитализации пациента в отделение кардиореанимации.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26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Следует помнить, что одной из причин рвоты кровью может быть заглатывание крови при носовом кровотечении.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firstLine="70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ОСМОТР И ФИЗИКАЛЬНОЕ ОБСЛЕДОВАНИЕ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8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Оценка общего состояния и жизненно важных функций: сознания, дыхания, кровообращения.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Визуальная оценка: бледность кожных покровов и слизистых, призна</w:t>
      </w:r>
      <w:r w:rsidRPr="00A25A4C">
        <w:rPr>
          <w:rStyle w:val="11"/>
          <w:color w:val="000000"/>
          <w:sz w:val="28"/>
          <w:szCs w:val="28"/>
        </w:rPr>
        <w:softHyphen/>
        <w:t>ки поражения печени (телеангиоэктазии, расширение подкожных вен брюшной стенки, желтуха, асцит), сыпь (проявления системных болез</w:t>
      </w:r>
      <w:r w:rsidRPr="00A25A4C">
        <w:rPr>
          <w:rStyle w:val="11"/>
          <w:color w:val="000000"/>
          <w:sz w:val="28"/>
          <w:szCs w:val="28"/>
        </w:rPr>
        <w:softHyphen/>
        <w:t>ней), кахексия (онкозаболевания).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Исследование пульса, измерение ЧСС, измерение АД (тахикардия, гипотония).</w:t>
      </w:r>
    </w:p>
    <w:p w:rsidR="00FB37D9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Живот, как правило, мягкий, равномерно участвует в акте дыхания, малоболезненный или безболезненный.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Ректальное пальцевое исследование: обнаружение мелены, геморроя; определение нависания передней стенки прямой кишки или выбуха</w:t>
      </w:r>
      <w:r w:rsidRPr="00A25A4C">
        <w:rPr>
          <w:rStyle w:val="11"/>
          <w:color w:val="000000"/>
          <w:sz w:val="28"/>
          <w:szCs w:val="28"/>
        </w:rPr>
        <w:softHyphen/>
        <w:t>ния заднего свода влагалища (внутрибрюшное кровотечение).</w:t>
      </w:r>
    </w:p>
    <w:p w:rsidR="00FB37D9" w:rsidRPr="00A25A4C" w:rsidRDefault="00FB37D9" w:rsidP="00E9543C">
      <w:pPr>
        <w:pStyle w:val="a3"/>
        <w:shd w:val="clear" w:color="auto" w:fill="auto"/>
        <w:tabs>
          <w:tab w:val="left" w:pos="413"/>
        </w:tabs>
        <w:suppressAutoHyphens/>
        <w:spacing w:after="0" w:line="240" w:lineRule="auto"/>
        <w:ind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Pr="00A25A4C">
        <w:rPr>
          <w:rStyle w:val="11"/>
          <w:color w:val="000000"/>
          <w:sz w:val="28"/>
          <w:szCs w:val="28"/>
        </w:rPr>
        <w:t>Наличие ассоциированных (явных) симптомов.</w:t>
      </w:r>
    </w:p>
    <w:p w:rsidR="00FB37D9" w:rsidRPr="00A25A4C" w:rsidRDefault="00FB37D9" w:rsidP="00E9543C">
      <w:pPr>
        <w:pStyle w:val="a3"/>
        <w:numPr>
          <w:ilvl w:val="0"/>
          <w:numId w:val="20"/>
        </w:numPr>
        <w:shd w:val="clear" w:color="auto" w:fill="auto"/>
        <w:tabs>
          <w:tab w:val="left" w:pos="413"/>
        </w:tabs>
        <w:suppressAutoHyphens/>
        <w:spacing w:after="0" w:line="240" w:lineRule="auto"/>
        <w:ind w:right="20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Мелена появляется при поступлении в просвет желудка не менее 200 мл крови. Продолжительность мелены не всегда свидетельствует о продолжа</w:t>
      </w:r>
      <w:r w:rsidRPr="00A25A4C">
        <w:rPr>
          <w:rStyle w:val="11"/>
          <w:color w:val="000000"/>
          <w:sz w:val="28"/>
          <w:szCs w:val="28"/>
        </w:rPr>
        <w:softHyphen/>
        <w:t xml:space="preserve">ющемся кровотечении, а соответствует продвижению крови </w:t>
      </w:r>
      <w:r w:rsidRPr="00A25A4C">
        <w:rPr>
          <w:rStyle w:val="11"/>
          <w:color w:val="000000"/>
          <w:sz w:val="28"/>
          <w:szCs w:val="28"/>
        </w:rPr>
        <w:lastRenderedPageBreak/>
        <w:t>по кишечнику (мелена может появиться уже через 4—6 мин после начала кровотечения).</w:t>
      </w:r>
    </w:p>
    <w:p w:rsidR="00FB37D9" w:rsidRPr="00A25A4C" w:rsidRDefault="00FB37D9" w:rsidP="00E9543C">
      <w:pPr>
        <w:pStyle w:val="a3"/>
        <w:numPr>
          <w:ilvl w:val="0"/>
          <w:numId w:val="20"/>
        </w:numPr>
        <w:shd w:val="clear" w:color="auto" w:fill="auto"/>
        <w:tabs>
          <w:tab w:val="left" w:pos="578"/>
        </w:tabs>
        <w:suppressAutoHyphens/>
        <w:spacing w:after="0" w:line="240" w:lineRule="auto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Примесь крови в кале.</w:t>
      </w:r>
    </w:p>
    <w:p w:rsidR="00FB37D9" w:rsidRPr="00A25A4C" w:rsidRDefault="00FB37D9" w:rsidP="00E9543C">
      <w:pPr>
        <w:pStyle w:val="a3"/>
        <w:numPr>
          <w:ilvl w:val="0"/>
          <w:numId w:val="20"/>
        </w:numPr>
        <w:shd w:val="clear" w:color="auto" w:fill="auto"/>
        <w:tabs>
          <w:tab w:val="left" w:pos="578"/>
        </w:tabs>
        <w:suppressAutoHyphens/>
        <w:spacing w:after="0" w:line="240" w:lineRule="auto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Рвота (алой кровью, тёмной кровью, «кофейной гущей»).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aps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aps/>
          <w:color w:val="000000"/>
          <w:sz w:val="28"/>
          <w:szCs w:val="28"/>
        </w:rPr>
      </w:pPr>
      <w:r w:rsidRPr="00A25A4C">
        <w:rPr>
          <w:rStyle w:val="11"/>
          <w:caps/>
          <w:color w:val="000000"/>
          <w:sz w:val="28"/>
          <w:szCs w:val="28"/>
        </w:rPr>
        <w:t xml:space="preserve">Показания к госпитализации. 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При очевидных симптомах или подозрении на продолжающееся или состоявшееся кровотечение больного нужно экс</w:t>
      </w:r>
      <w:r w:rsidRPr="00A25A4C">
        <w:rPr>
          <w:rStyle w:val="11"/>
          <w:color w:val="000000"/>
          <w:sz w:val="28"/>
          <w:szCs w:val="28"/>
        </w:rPr>
        <w:softHyphen/>
        <w:t xml:space="preserve">тренно госпитализировать. </w:t>
      </w:r>
      <w:r>
        <w:rPr>
          <w:rStyle w:val="11"/>
          <w:color w:val="000000"/>
          <w:sz w:val="28"/>
          <w:szCs w:val="28"/>
        </w:rPr>
        <w:t>Медицинская эвакуация осуществляется</w:t>
      </w:r>
      <w:r w:rsidRPr="00A25A4C">
        <w:rPr>
          <w:rStyle w:val="11"/>
          <w:color w:val="000000"/>
          <w:sz w:val="28"/>
          <w:szCs w:val="28"/>
        </w:rPr>
        <w:t xml:space="preserve"> в положении лёжа на носил</w:t>
      </w:r>
      <w:r w:rsidRPr="00A25A4C">
        <w:rPr>
          <w:rStyle w:val="11"/>
          <w:color w:val="000000"/>
          <w:sz w:val="28"/>
          <w:szCs w:val="28"/>
        </w:rPr>
        <w:softHyphen/>
        <w:t>ках с приподнятых головным концом.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Часто встречающиеся ошибки. Задержка госпитализации пациента при кажущейся остановке кровотечения, которое в любой момент может ре</w:t>
      </w:r>
      <w:r w:rsidRPr="00A25A4C">
        <w:rPr>
          <w:rStyle w:val="11"/>
          <w:color w:val="000000"/>
          <w:sz w:val="28"/>
          <w:szCs w:val="28"/>
        </w:rPr>
        <w:softHyphen/>
        <w:t>цидивировать.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ЛЕЧЕНИЕ НА ДОГОСПИТАЛЬНОМ ЭТАПЕ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Основная задача СМП при желудочно-кишечном кровотечении — экс</w:t>
      </w:r>
      <w:r w:rsidRPr="00A25A4C">
        <w:rPr>
          <w:rStyle w:val="11"/>
          <w:color w:val="000000"/>
          <w:sz w:val="28"/>
          <w:szCs w:val="28"/>
        </w:rPr>
        <w:softHyphen/>
        <w:t>тренная госпитализация больного в стационар. Следует вести мониторинг или контроль АД и ЧСС, поддерживать виталь</w:t>
      </w:r>
      <w:r w:rsidRPr="00A25A4C">
        <w:rPr>
          <w:rStyle w:val="11"/>
          <w:color w:val="000000"/>
          <w:sz w:val="28"/>
          <w:szCs w:val="28"/>
        </w:rPr>
        <w:softHyphen/>
        <w:t>ные функции (в соответствии с общереанимационными принципами).</w:t>
      </w:r>
    </w:p>
    <w:p w:rsidR="00FB37D9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При наличии признаков геморрагического шока (озноб, холодный пот, снижение наполнения вен, нарастающая тахикардия (ЧСС &gt;100 ударов в мин) и гипотония (АД &lt;</w:t>
      </w:r>
      <w:smartTag w:uri="urn:schemas-microsoft-com:office:smarttags" w:element="metricconverter">
        <w:smartTagPr>
          <w:attr w:name="ProductID" w:val="100 мм"/>
        </w:smartTagPr>
        <w:r w:rsidRPr="00A25A4C">
          <w:rPr>
            <w:rStyle w:val="11"/>
            <w:color w:val="000000"/>
            <w:sz w:val="28"/>
            <w:szCs w:val="28"/>
          </w:rPr>
          <w:t>100 мм</w:t>
        </w:r>
      </w:smartTag>
      <w:r w:rsidRPr="00A25A4C">
        <w:rPr>
          <w:rStyle w:val="11"/>
          <w:color w:val="000000"/>
          <w:sz w:val="28"/>
          <w:szCs w:val="28"/>
        </w:rPr>
        <w:t xml:space="preserve"> рт.ст.) начать переливание жидкости в/в капельно: </w:t>
      </w:r>
      <w:r w:rsidR="001B60B4" w:rsidRPr="00A25A4C">
        <w:rPr>
          <w:rStyle w:val="11"/>
          <w:color w:val="000000"/>
          <w:sz w:val="28"/>
          <w:szCs w:val="28"/>
        </w:rPr>
        <w:t xml:space="preserve">раствор </w:t>
      </w:r>
      <w:r w:rsidR="001B60B4" w:rsidRPr="001B60B4">
        <w:rPr>
          <w:rStyle w:val="11"/>
          <w:color w:val="000000"/>
          <w:sz w:val="28"/>
          <w:szCs w:val="28"/>
        </w:rPr>
        <w:t>натрия хлорида 0,9% — 400 мл</w:t>
      </w:r>
      <w:r w:rsidR="001B60B4">
        <w:rPr>
          <w:rStyle w:val="11"/>
          <w:color w:val="000000"/>
          <w:sz w:val="28"/>
          <w:szCs w:val="28"/>
        </w:rPr>
        <w:t>,</w:t>
      </w:r>
      <w:r w:rsidR="001B60B4" w:rsidRPr="00A25A4C">
        <w:rPr>
          <w:rStyle w:val="11"/>
          <w:color w:val="000000"/>
          <w:sz w:val="28"/>
          <w:szCs w:val="28"/>
        </w:rPr>
        <w:t xml:space="preserve"> </w:t>
      </w:r>
      <w:r w:rsidRPr="00A25A4C">
        <w:rPr>
          <w:rStyle w:val="11"/>
          <w:color w:val="000000"/>
          <w:sz w:val="28"/>
          <w:szCs w:val="28"/>
        </w:rPr>
        <w:t>гидроксиэтилкрахмала</w:t>
      </w:r>
      <w:r w:rsidR="001B60B4">
        <w:rPr>
          <w:rStyle w:val="11"/>
          <w:color w:val="000000"/>
          <w:sz w:val="28"/>
          <w:szCs w:val="28"/>
        </w:rPr>
        <w:t xml:space="preserve"> -</w:t>
      </w:r>
      <w:r w:rsidRPr="00A25A4C">
        <w:rPr>
          <w:rStyle w:val="11"/>
          <w:color w:val="000000"/>
          <w:sz w:val="28"/>
          <w:szCs w:val="28"/>
        </w:rPr>
        <w:t xml:space="preserve"> 400 мл</w:t>
      </w:r>
      <w:r w:rsidR="001B60B4">
        <w:rPr>
          <w:rStyle w:val="11"/>
          <w:color w:val="000000"/>
          <w:sz w:val="28"/>
          <w:szCs w:val="28"/>
        </w:rPr>
        <w:t>.</w:t>
      </w:r>
      <w:r w:rsidR="001B60B4" w:rsidRPr="001B60B4">
        <w:rPr>
          <w:sz w:val="28"/>
          <w:szCs w:val="28"/>
        </w:rPr>
        <w:t xml:space="preserve"> </w:t>
      </w:r>
      <w:r w:rsidR="001B60B4">
        <w:rPr>
          <w:sz w:val="28"/>
          <w:szCs w:val="28"/>
        </w:rPr>
        <w:t xml:space="preserve"> </w:t>
      </w:r>
      <w:r w:rsidR="001B60B4" w:rsidRPr="00716864">
        <w:rPr>
          <w:sz w:val="28"/>
          <w:szCs w:val="28"/>
        </w:rPr>
        <w:t>Неэффективность терапии указанными плазмозаменителями является показанием к назначению глюкокортикоидных гормонов в дозах 5-15 мг/кг гидрокортизона.</w:t>
      </w:r>
    </w:p>
    <w:p w:rsidR="00A90141" w:rsidRPr="00A90141" w:rsidRDefault="00A90141" w:rsidP="00A90141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0141">
        <w:rPr>
          <w:rFonts w:ascii="Times New Roman" w:hAnsi="Times New Roman" w:cs="Times New Roman"/>
          <w:sz w:val="28"/>
          <w:szCs w:val="28"/>
        </w:rPr>
        <w:t xml:space="preserve">Критериями адекватности восстановления ОЦК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A90141">
        <w:rPr>
          <w:rFonts w:ascii="Times New Roman" w:hAnsi="Times New Roman" w:cs="Times New Roman"/>
          <w:sz w:val="28"/>
          <w:szCs w:val="28"/>
        </w:rPr>
        <w:t xml:space="preserve"> массивной кровопотер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90141">
        <w:rPr>
          <w:rFonts w:ascii="Times New Roman" w:hAnsi="Times New Roman" w:cs="Times New Roman"/>
          <w:sz w:val="28"/>
          <w:szCs w:val="28"/>
        </w:rPr>
        <w:t xml:space="preserve"> служат: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уровень САД – 80-100 мм рт.ст.,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величина ЦВД – не более 12 см вод. ст.,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скорость диуреза – не менее 40 мл/час,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содержание гемоглобина не менее 90 г/л,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141">
        <w:rPr>
          <w:rFonts w:ascii="Times New Roman" w:hAnsi="Times New Roman" w:cs="Times New Roman"/>
          <w:sz w:val="28"/>
          <w:szCs w:val="28"/>
        </w:rPr>
        <w:t>насыщение гемоглобина капиллярной крови кислородом не менее 95% (</w:t>
      </w:r>
      <w:r w:rsidRPr="00A90141">
        <w:rPr>
          <w:rFonts w:ascii="Times New Roman" w:hAnsi="Times New Roman" w:cs="Times New Roman"/>
          <w:sz w:val="28"/>
          <w:szCs w:val="28"/>
          <w:lang w:val="en-US"/>
        </w:rPr>
        <w:t>FiO</w:t>
      </w:r>
      <w:r w:rsidRPr="00A901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90141">
        <w:rPr>
          <w:rFonts w:ascii="Times New Roman" w:hAnsi="Times New Roman" w:cs="Times New Roman"/>
          <w:sz w:val="28"/>
          <w:szCs w:val="28"/>
        </w:rPr>
        <w:t>&lt;0,3).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right="20" w:firstLine="7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Если у больного нет признаков геморрагического шока, то не стоит то</w:t>
      </w:r>
      <w:r w:rsidRPr="00A25A4C">
        <w:rPr>
          <w:rStyle w:val="11"/>
          <w:color w:val="000000"/>
          <w:sz w:val="28"/>
          <w:szCs w:val="28"/>
        </w:rPr>
        <w:softHyphen/>
        <w:t>ропиться с инфузионной терапией.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both"/>
        <w:rPr>
          <w:rStyle w:val="11"/>
          <w:color w:val="000000"/>
          <w:sz w:val="28"/>
          <w:szCs w:val="28"/>
        </w:rPr>
      </w:pPr>
    </w:p>
    <w:p w:rsidR="00FB37D9" w:rsidRPr="008E3343" w:rsidRDefault="00FB37D9" w:rsidP="008E3343">
      <w:pPr>
        <w:pStyle w:val="a3"/>
        <w:shd w:val="clear" w:color="auto" w:fill="auto"/>
        <w:suppressAutoHyphens/>
        <w:spacing w:after="0" w:line="24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8E3343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FB37D9" w:rsidRDefault="00FB37D9" w:rsidP="00A25A4C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7D9" w:rsidRPr="00A25A4C" w:rsidRDefault="00FB37D9" w:rsidP="00A25A4C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Все больные с признаками желудочно-кишечного кро</w:t>
      </w:r>
      <w:r w:rsidRPr="00A25A4C">
        <w:rPr>
          <w:rFonts w:ascii="Times New Roman" w:hAnsi="Times New Roman" w:cs="Times New Roman"/>
          <w:sz w:val="28"/>
          <w:szCs w:val="28"/>
        </w:rPr>
        <w:softHyphen/>
        <w:t xml:space="preserve">вотечения или при обоснованном подозрении на таковое подлежат немедленному направлению в </w:t>
      </w:r>
      <w:r w:rsidRPr="00A25A4C">
        <w:rPr>
          <w:rFonts w:ascii="Times New Roman" w:hAnsi="Times New Roman" w:cs="Times New Roman"/>
          <w:b/>
          <w:bCs/>
          <w:sz w:val="28"/>
          <w:szCs w:val="28"/>
        </w:rPr>
        <w:t xml:space="preserve">многопрофильные </w:t>
      </w:r>
      <w:r w:rsidRPr="00A25A4C">
        <w:rPr>
          <w:rFonts w:ascii="Times New Roman" w:hAnsi="Times New Roman" w:cs="Times New Roman"/>
          <w:sz w:val="28"/>
          <w:szCs w:val="28"/>
        </w:rPr>
        <w:t xml:space="preserve">стационары скорой </w:t>
      </w:r>
      <w:r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A25A4C">
        <w:rPr>
          <w:rFonts w:ascii="Times New Roman" w:hAnsi="Times New Roman" w:cs="Times New Roman"/>
          <w:sz w:val="28"/>
          <w:szCs w:val="28"/>
        </w:rPr>
        <w:t>помощи, где круглосуточно обеспечивается дежурная эндоскопическая служба (с возможностями современной лечебной эндоскопии) и штатная служба (кабинет, отделение) переливания крови.</w:t>
      </w:r>
    </w:p>
    <w:p w:rsidR="00FB37D9" w:rsidRPr="00A25A4C" w:rsidRDefault="00FB37D9" w:rsidP="00A25A4C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Международным рекомендациям </w:t>
      </w:r>
      <w:r w:rsidRPr="00A25A4C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в лечебном учреждении должны быть созданы протоколы для мультидисциплинарного ведения пациентов с ЖКК, в том числе они должны включать доступность эндоскописта, обученного проведению эндоскопического гемостаза.</w:t>
      </w:r>
    </w:p>
    <w:p w:rsidR="00FB37D9" w:rsidRPr="00A25A4C" w:rsidRDefault="00FB37D9" w:rsidP="00A25A4C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 xml:space="preserve">Основанием для  диагноза желудочно-кишечного кровотечения в условиях </w:t>
      </w:r>
      <w:r w:rsidRPr="008E3343">
        <w:rPr>
          <w:rStyle w:val="11"/>
          <w:sz w:val="28"/>
          <w:szCs w:val="28"/>
        </w:rPr>
        <w:t>СтОСМП</w:t>
      </w:r>
      <w:r w:rsidRPr="008E3343">
        <w:rPr>
          <w:rFonts w:ascii="Times New Roman" w:hAnsi="Times New Roman" w:cs="Times New Roman"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sz w:val="28"/>
          <w:szCs w:val="28"/>
        </w:rPr>
        <w:t xml:space="preserve">являются следующие признаки: </w:t>
      </w:r>
    </w:p>
    <w:p w:rsidR="00FB37D9" w:rsidRPr="00A25A4C" w:rsidRDefault="00FB37D9" w:rsidP="00A25A4C">
      <w:pPr>
        <w:widowControl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рвота малоизмененной кровью и/или содержимым по типу «кофейной гущи»; </w:t>
      </w:r>
    </w:p>
    <w:p w:rsidR="00FB37D9" w:rsidRPr="00A25A4C" w:rsidRDefault="00FB37D9" w:rsidP="00A25A4C">
      <w:pPr>
        <w:widowControl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мелена и/или черный  кал при пальцевом исследовании прямой кишки;</w:t>
      </w:r>
    </w:p>
    <w:p w:rsidR="00FB37D9" w:rsidRPr="00A25A4C" w:rsidRDefault="00FB37D9" w:rsidP="00A25A4C">
      <w:pPr>
        <w:widowControl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коллаптоидное состояние и холодный липкий пот;</w:t>
      </w:r>
    </w:p>
    <w:p w:rsidR="00FB37D9" w:rsidRPr="00A25A4C" w:rsidRDefault="00FB37D9" w:rsidP="00A25A4C">
      <w:pPr>
        <w:pStyle w:val="a9"/>
        <w:numPr>
          <w:ilvl w:val="0"/>
          <w:numId w:val="14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бледность кожи, снижение Нв. </w:t>
      </w:r>
    </w:p>
    <w:p w:rsidR="00FB37D9" w:rsidRPr="00A25A4C" w:rsidRDefault="00FB37D9" w:rsidP="00A25A4C">
      <w:pPr>
        <w:pStyle w:val="a9"/>
        <w:suppressAutoHyphens/>
        <w:ind w:left="0" w:firstLine="720"/>
        <w:jc w:val="both"/>
        <w:rPr>
          <w:sz w:val="28"/>
          <w:szCs w:val="28"/>
        </w:rPr>
      </w:pPr>
      <w:r w:rsidRPr="00A25A4C">
        <w:rPr>
          <w:sz w:val="28"/>
          <w:szCs w:val="28"/>
        </w:rPr>
        <w:t>Достаточно одного из перечисленных критериев для отнесения больного к группе ЖКК.</w:t>
      </w:r>
    </w:p>
    <w:p w:rsidR="00FB37D9" w:rsidRPr="00A25A4C" w:rsidRDefault="00FB37D9" w:rsidP="00A25A4C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В зависимости от выраженности проявлений кровотечения и тя</w:t>
      </w:r>
      <w:r w:rsidRPr="00A25A4C">
        <w:rPr>
          <w:rFonts w:ascii="Times New Roman" w:hAnsi="Times New Roman" w:cs="Times New Roman"/>
          <w:sz w:val="28"/>
          <w:szCs w:val="28"/>
        </w:rPr>
        <w:softHyphen/>
        <w:t>жести состояния, все больные с желудочно-кишечным кровотечени</w:t>
      </w:r>
      <w:r w:rsidRPr="00A25A4C">
        <w:rPr>
          <w:rFonts w:ascii="Times New Roman" w:hAnsi="Times New Roman" w:cs="Times New Roman"/>
          <w:sz w:val="28"/>
          <w:szCs w:val="28"/>
        </w:rPr>
        <w:softHyphen/>
        <w:t xml:space="preserve">ем разделяются на 2 основные группы: </w:t>
      </w:r>
      <w:r w:rsidRPr="00A25A4C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A25A4C">
        <w:rPr>
          <w:rFonts w:ascii="Times New Roman" w:hAnsi="Times New Roman" w:cs="Times New Roman"/>
          <w:b/>
          <w:sz w:val="28"/>
          <w:szCs w:val="28"/>
          <w:u w:val="single"/>
        </w:rPr>
        <w:t>тяжелое ЖКК»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 - с высоким риском рецидива кровотечения и неблагоприятного исхода и </w:t>
      </w:r>
      <w:r w:rsidRPr="00A25A4C">
        <w:rPr>
          <w:rFonts w:ascii="Times New Roman" w:hAnsi="Times New Roman" w:cs="Times New Roman"/>
          <w:b/>
          <w:sz w:val="28"/>
          <w:szCs w:val="28"/>
          <w:u w:val="single"/>
        </w:rPr>
        <w:t>«нетяжелое ЖКК»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B37D9" w:rsidRPr="00A25A4C" w:rsidRDefault="00FB37D9" w:rsidP="00A25A4C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FB37D9" w:rsidRPr="008E3343" w:rsidRDefault="00FB37D9" w:rsidP="00A25A4C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A25A4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8E3343">
        <w:rPr>
          <w:rFonts w:ascii="Times New Roman" w:hAnsi="Times New Roman" w:cs="Times New Roman"/>
          <w:b/>
          <w:sz w:val="28"/>
          <w:szCs w:val="28"/>
        </w:rPr>
        <w:t xml:space="preserve">Протокол обследования больных с ЖКК в </w:t>
      </w:r>
      <w:r w:rsidRPr="008E3343">
        <w:rPr>
          <w:rStyle w:val="11"/>
          <w:b/>
          <w:sz w:val="28"/>
          <w:szCs w:val="28"/>
        </w:rPr>
        <w:t>СтОСМП</w:t>
      </w:r>
      <w:r w:rsidRPr="008E3343">
        <w:rPr>
          <w:rFonts w:ascii="Times New Roman" w:hAnsi="Times New Roman" w:cs="Times New Roman"/>
          <w:b/>
          <w:sz w:val="28"/>
          <w:szCs w:val="28"/>
        </w:rPr>
        <w:t>:</w:t>
      </w:r>
    </w:p>
    <w:p w:rsidR="00FB37D9" w:rsidRPr="00A25A4C" w:rsidRDefault="00FB37D9" w:rsidP="00A25A4C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 xml:space="preserve">Всем больным  этой группы в </w:t>
      </w:r>
      <w:r w:rsidRPr="007D5208">
        <w:rPr>
          <w:rStyle w:val="11"/>
          <w:sz w:val="28"/>
          <w:szCs w:val="28"/>
        </w:rPr>
        <w:t>СтОСМП</w:t>
      </w:r>
      <w:r w:rsidRPr="00A25A4C">
        <w:rPr>
          <w:rFonts w:ascii="Times New Roman" w:hAnsi="Times New Roman" w:cs="Times New Roman"/>
          <w:sz w:val="28"/>
          <w:szCs w:val="28"/>
        </w:rPr>
        <w:t xml:space="preserve"> выполняется: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измерение АД и ЧСС;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устанавливается желудочный зонд;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пальцевое исследование прямой кишки;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общий анализ крови; </w:t>
      </w:r>
    </w:p>
    <w:p w:rsidR="00FB37D9" w:rsidRPr="00A25A4C" w:rsidRDefault="00FB37D9" w:rsidP="00A25A4C">
      <w:pPr>
        <w:widowControl/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ЭКГ, УЗИ органов брюшной полости (при отсутствии нарушений гемодинамики).</w:t>
      </w:r>
    </w:p>
    <w:p w:rsidR="00FB37D9" w:rsidRPr="00A25A4C" w:rsidRDefault="00FB37D9" w:rsidP="00A25A4C">
      <w:pPr>
        <w:pStyle w:val="a9"/>
        <w:numPr>
          <w:ilvl w:val="0"/>
          <w:numId w:val="15"/>
        </w:numPr>
        <w:suppressAutoHyphens/>
        <w:rPr>
          <w:b/>
          <w:sz w:val="28"/>
          <w:szCs w:val="28"/>
        </w:rPr>
      </w:pPr>
      <w:r w:rsidRPr="00A25A4C">
        <w:rPr>
          <w:b/>
          <w:sz w:val="28"/>
          <w:szCs w:val="28"/>
        </w:rPr>
        <w:t xml:space="preserve">Обязательные исследования: </w:t>
      </w:r>
      <w:r w:rsidRPr="00A25A4C">
        <w:rPr>
          <w:sz w:val="28"/>
          <w:szCs w:val="28"/>
        </w:rPr>
        <w:t>ФГДС</w:t>
      </w:r>
      <w:r>
        <w:rPr>
          <w:sz w:val="28"/>
          <w:szCs w:val="28"/>
        </w:rPr>
        <w:t xml:space="preserve"> </w:t>
      </w:r>
      <w:r w:rsidRPr="00410137">
        <w:rPr>
          <w:color w:val="000000"/>
          <w:sz w:val="28"/>
          <w:szCs w:val="28"/>
          <w:shd w:val="clear" w:color="auto" w:fill="FFFFFF"/>
        </w:rPr>
        <w:t>(А, 1++)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A25A4C">
        <w:rPr>
          <w:sz w:val="28"/>
          <w:szCs w:val="28"/>
        </w:rPr>
        <w:t>консультация терапевта, группа крови, резус-фактор, RW.</w:t>
      </w:r>
    </w:p>
    <w:p w:rsidR="00FB37D9" w:rsidRPr="00A25A4C" w:rsidRDefault="00FB37D9" w:rsidP="00A25A4C">
      <w:pPr>
        <w:pStyle w:val="a9"/>
        <w:numPr>
          <w:ilvl w:val="0"/>
          <w:numId w:val="15"/>
        </w:numPr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 xml:space="preserve">Дополнительные исследования </w:t>
      </w:r>
      <w:r w:rsidRPr="00A25A4C">
        <w:rPr>
          <w:sz w:val="28"/>
          <w:szCs w:val="28"/>
        </w:rPr>
        <w:t xml:space="preserve">(по показаниям): </w:t>
      </w:r>
      <w:r w:rsidRPr="00A25A4C">
        <w:rPr>
          <w:sz w:val="28"/>
          <w:szCs w:val="28"/>
          <w:lang w:val="en-US"/>
        </w:rPr>
        <w:t>Rg</w:t>
      </w:r>
      <w:r w:rsidRPr="00A25A4C">
        <w:rPr>
          <w:sz w:val="28"/>
          <w:szCs w:val="28"/>
        </w:rPr>
        <w:t xml:space="preserve">-графия груди, биохимический анализ крови: сахар, мочевина, креатинин, билирубин, АСТ, АЛТ, калий и натрий; тромбоциты, активированное частичное тромбопластиновое время (АЧТВ), МНО, фибринолитическая активность плазмы.  </w:t>
      </w:r>
    </w:p>
    <w:p w:rsidR="00FB37D9" w:rsidRPr="00A25A4C" w:rsidRDefault="00FB37D9" w:rsidP="00A25A4C">
      <w:pPr>
        <w:widowControl/>
        <w:suppressAutoHyphens/>
        <w:ind w:left="720"/>
        <w:rPr>
          <w:rFonts w:ascii="Times New Roman" w:hAnsi="Times New Roman" w:cs="Times New Roman"/>
          <w:sz w:val="28"/>
          <w:szCs w:val="28"/>
        </w:rPr>
      </w:pPr>
    </w:p>
    <w:p w:rsidR="00FB37D9" w:rsidRPr="00A25A4C" w:rsidRDefault="00FB37D9" w:rsidP="00A25A4C">
      <w:pPr>
        <w:pStyle w:val="a9"/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>Критерии отнесения к группе «тяжелое ЖКК»</w:t>
      </w:r>
      <w:r w:rsidRPr="00A25A4C">
        <w:rPr>
          <w:sz w:val="28"/>
          <w:szCs w:val="28"/>
        </w:rPr>
        <w:t>: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возраст старше 60 лет;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неоднократные рвота малоизмененной кровью («кофейной гущей») и/или  мелена;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коллапс, потеря  сознания;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тахикардия – частота сердечных сокращений ≥ 100 в мин;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гипотензия – систолическое АД ≤ 100 мм рт.ст.;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концентрация  гемоглобина менее 100 г/л;</w:t>
      </w:r>
    </w:p>
    <w:p w:rsidR="00FB37D9" w:rsidRPr="00A25A4C" w:rsidRDefault="00FB37D9" w:rsidP="008E334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поступление малоизмененной крови («кофейной гущи») по желудочному зонду;</w:t>
      </w:r>
    </w:p>
    <w:p w:rsidR="00FB37D9" w:rsidRPr="00A25A4C" w:rsidRDefault="00FB37D9" w:rsidP="008E3343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- наличие сопутствующих заболеваний в ст. суб- и декомпенсации, требующих </w:t>
      </w:r>
      <w:r w:rsidRPr="00A25A4C">
        <w:rPr>
          <w:rFonts w:ascii="Times New Roman" w:hAnsi="Times New Roman" w:cs="Times New Roman"/>
          <w:sz w:val="28"/>
          <w:szCs w:val="28"/>
        </w:rPr>
        <w:lastRenderedPageBreak/>
        <w:t>неотложных лечебных мероприятий или непосредственно угрожающих жизни больного.</w:t>
      </w:r>
    </w:p>
    <w:p w:rsidR="00FB37D9" w:rsidRPr="00A25A4C" w:rsidRDefault="00FB37D9" w:rsidP="00A25A4C">
      <w:pPr>
        <w:pStyle w:val="a9"/>
        <w:suppressAutoHyphens/>
        <w:rPr>
          <w:sz w:val="28"/>
          <w:szCs w:val="28"/>
        </w:rPr>
      </w:pPr>
    </w:p>
    <w:p w:rsidR="00FB37D9" w:rsidRDefault="00FB37D9" w:rsidP="008E3343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5A4C">
        <w:rPr>
          <w:rFonts w:ascii="Times New Roman" w:hAnsi="Times New Roman" w:cs="Times New Roman"/>
          <w:sz w:val="28"/>
          <w:szCs w:val="28"/>
        </w:rPr>
        <w:t>Наличие 4-х и более перечисленных признаков позволяет диагностировать у больного «</w:t>
      </w:r>
      <w:r w:rsidRPr="00A25A4C">
        <w:rPr>
          <w:rFonts w:ascii="Times New Roman" w:hAnsi="Times New Roman" w:cs="Times New Roman"/>
          <w:b/>
          <w:sz w:val="28"/>
          <w:szCs w:val="28"/>
        </w:rPr>
        <w:t>тяжелое ЖКК»</w:t>
      </w:r>
      <w:r w:rsidRPr="00A25A4C">
        <w:rPr>
          <w:rFonts w:ascii="Times New Roman" w:hAnsi="Times New Roman" w:cs="Times New Roman"/>
          <w:sz w:val="28"/>
          <w:szCs w:val="28"/>
        </w:rPr>
        <w:t xml:space="preserve">, что требует 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направления </w:t>
      </w:r>
      <w:r w:rsidRPr="00A25A4C">
        <w:rPr>
          <w:rFonts w:ascii="Times New Roman" w:hAnsi="Times New Roman" w:cs="Times New Roman"/>
          <w:sz w:val="28"/>
          <w:szCs w:val="28"/>
        </w:rPr>
        <w:t xml:space="preserve">его 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в ОРИТ (БИТ – блок интенсивной терапии) </w:t>
      </w:r>
      <w:r w:rsidRPr="00A25A4C">
        <w:rPr>
          <w:rFonts w:ascii="Times New Roman" w:hAnsi="Times New Roman" w:cs="Times New Roman"/>
          <w:sz w:val="28"/>
          <w:szCs w:val="28"/>
        </w:rPr>
        <w:t xml:space="preserve">для дальнейшего обследования и лечения. </w:t>
      </w:r>
      <w:r w:rsidRPr="00A25A4C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Согласно Международным рекомендациям для раннего выделения групп с низкой/высокой степенью риска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рецидива кровотечений и летальности возможно использовать иные прогностические шкалы: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val="en-US" w:eastAsia="en-US"/>
        </w:rPr>
        <w:t>O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. 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eastAsia="en-US"/>
        </w:rPr>
        <w:t xml:space="preserve">Blatchford (2000), пре-эндоскопической и полной шкалами 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val="en-US" w:eastAsia="en-US"/>
        </w:rPr>
        <w:t>T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eastAsia="en-US"/>
        </w:rPr>
        <w:t>.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val="en-US" w:eastAsia="en-US"/>
        </w:rPr>
        <w:t>A</w:t>
      </w:r>
      <w:r w:rsidRPr="00497F8F">
        <w:rPr>
          <w:rFonts w:ascii="Times New Roman" w:hAnsi="Times New Roman" w:cs="Times New Roman"/>
          <w:color w:val="231F20"/>
          <w:sz w:val="28"/>
          <w:szCs w:val="28"/>
          <w:lang w:eastAsia="en-US"/>
        </w:rPr>
        <w:t xml:space="preserve">. Rockall (1996) </w:t>
      </w:r>
      <w:r w:rsidRPr="00497F8F">
        <w:rPr>
          <w:rFonts w:ascii="Times New Roman" w:hAnsi="Times New Roman" w:cs="Times New Roman"/>
          <w:sz w:val="28"/>
          <w:szCs w:val="28"/>
          <w:shd w:val="clear" w:color="auto" w:fill="FFFFFF"/>
        </w:rPr>
        <w:t>(С, 2++).</w:t>
      </w:r>
    </w:p>
    <w:p w:rsidR="004403BD" w:rsidRPr="004403BD" w:rsidRDefault="004403BD" w:rsidP="004403B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403BD">
        <w:rPr>
          <w:rFonts w:ascii="Times New Roman" w:hAnsi="Times New Roman" w:cs="Times New Roman"/>
          <w:sz w:val="28"/>
          <w:szCs w:val="28"/>
        </w:rPr>
        <w:t>тепень тяжести кровопотери</w:t>
      </w:r>
      <w:r>
        <w:rPr>
          <w:rFonts w:ascii="Times New Roman" w:hAnsi="Times New Roman" w:cs="Times New Roman"/>
          <w:sz w:val="28"/>
          <w:szCs w:val="28"/>
        </w:rPr>
        <w:t xml:space="preserve"> уточняется по клинико-лабораторным пок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зателям</w:t>
      </w:r>
      <w:r w:rsidRPr="004403BD">
        <w:rPr>
          <w:rFonts w:ascii="Times New Roman" w:hAnsi="Times New Roman" w:cs="Times New Roman"/>
          <w:sz w:val="28"/>
          <w:szCs w:val="28"/>
        </w:rPr>
        <w:t>.</w:t>
      </w:r>
    </w:p>
    <w:p w:rsidR="004403BD" w:rsidRPr="004403BD" w:rsidRDefault="004403BD" w:rsidP="004403BD">
      <w:pPr>
        <w:pStyle w:val="af8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4403BD">
        <w:rPr>
          <w:rFonts w:ascii="Times New Roman" w:hAnsi="Times New Roman" w:cs="Times New Roman"/>
          <w:sz w:val="28"/>
          <w:szCs w:val="28"/>
        </w:rPr>
        <w:t xml:space="preserve">Клинико-лабораторные критерии для определения тяжести кровопотери при </w:t>
      </w:r>
      <w:r>
        <w:rPr>
          <w:rFonts w:ascii="Times New Roman" w:hAnsi="Times New Roman" w:cs="Times New Roman"/>
          <w:sz w:val="28"/>
          <w:szCs w:val="28"/>
        </w:rPr>
        <w:t>желудочно-кишечных кровотечениях</w:t>
      </w:r>
    </w:p>
    <w:tbl>
      <w:tblPr>
        <w:tblW w:w="9315" w:type="dxa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1"/>
        <w:gridCol w:w="2070"/>
        <w:gridCol w:w="2277"/>
        <w:gridCol w:w="2277"/>
      </w:tblGrid>
      <w:tr w:rsidR="004403BD" w:rsidRPr="004403BD" w:rsidTr="004403BD">
        <w:trPr>
          <w:cantSplit/>
          <w:trHeight w:val="440"/>
        </w:trPr>
        <w:tc>
          <w:tcPr>
            <w:tcW w:w="2691" w:type="dxa"/>
            <w:vMerge w:val="restart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6624" w:type="dxa"/>
            <w:gridSpan w:val="3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Степень кровопотери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Merge/>
          </w:tcPr>
          <w:p w:rsidR="004403BD" w:rsidRPr="004403BD" w:rsidRDefault="004403BD" w:rsidP="00490032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Легкая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Тяжелая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АД, мм. рт. ст.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B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90-100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90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Частота пульса,  уд./мин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A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A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120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E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120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Гемоглобин, г/л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B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80-100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80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Венозный гем</w:t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токрит, %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B3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35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25-35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</w:p>
        </w:tc>
      </w:tr>
      <w:tr w:rsidR="004403BD" w:rsidRPr="004403BD" w:rsidTr="004403BD">
        <w:trPr>
          <w:cantSplit/>
          <w:trHeight w:val="360"/>
        </w:trPr>
        <w:tc>
          <w:tcPr>
            <w:tcW w:w="2691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Удельный вес крови</w:t>
            </w:r>
          </w:p>
        </w:tc>
        <w:tc>
          <w:tcPr>
            <w:tcW w:w="2070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1,053-1,050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>1,050-1,044</w:t>
            </w:r>
          </w:p>
        </w:tc>
        <w:tc>
          <w:tcPr>
            <w:tcW w:w="2277" w:type="dxa"/>
            <w:vAlign w:val="center"/>
          </w:tcPr>
          <w:p w:rsidR="004403BD" w:rsidRPr="004403BD" w:rsidRDefault="004403BD" w:rsidP="00490032">
            <w:pPr>
              <w:pStyle w:val="a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3BD">
              <w:rPr>
                <w:rFonts w:ascii="Times New Roman" w:hAnsi="Times New Roman" w:cs="Times New Roman"/>
                <w:sz w:val="28"/>
                <w:szCs w:val="28"/>
              </w:rPr>
              <w:sym w:font="Symbol" w:char="F03C"/>
            </w:r>
            <w:r w:rsidRPr="004403BD">
              <w:rPr>
                <w:rFonts w:ascii="Times New Roman" w:hAnsi="Times New Roman" w:cs="Times New Roman"/>
                <w:sz w:val="28"/>
                <w:szCs w:val="28"/>
              </w:rPr>
              <w:t xml:space="preserve"> 1,044</w:t>
            </w:r>
          </w:p>
        </w:tc>
      </w:tr>
    </w:tbl>
    <w:p w:rsidR="004403BD" w:rsidRPr="00497F8F" w:rsidRDefault="004403BD" w:rsidP="008E3343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37D9" w:rsidRPr="00A25A4C" w:rsidRDefault="00FB37D9" w:rsidP="008E3343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F8F">
        <w:rPr>
          <w:rFonts w:ascii="Times New Roman" w:hAnsi="Times New Roman" w:cs="Times New Roman"/>
          <w:sz w:val="28"/>
          <w:szCs w:val="28"/>
        </w:rPr>
        <w:t xml:space="preserve">ФГДС при тяжелом ЖКК должна быть выполнена в экстренном порядке </w:t>
      </w:r>
      <w:r w:rsidRPr="00497F8F">
        <w:rPr>
          <w:rFonts w:ascii="Times New Roman" w:hAnsi="Times New Roman" w:cs="Times New Roman"/>
          <w:b/>
          <w:sz w:val="28"/>
          <w:szCs w:val="28"/>
        </w:rPr>
        <w:t xml:space="preserve">соответственно тяжести состояния больного в течение 2 часов </w:t>
      </w:r>
      <w:r w:rsidRPr="00497F8F">
        <w:rPr>
          <w:rFonts w:ascii="Times New Roman" w:hAnsi="Times New Roman" w:cs="Times New Roman"/>
          <w:sz w:val="28"/>
          <w:szCs w:val="28"/>
        </w:rPr>
        <w:t>после поступления в стационар. По Международным рекомендациям</w:t>
      </w:r>
      <w:r w:rsidRPr="00A25A4C">
        <w:rPr>
          <w:rFonts w:ascii="Times New Roman" w:hAnsi="Times New Roman" w:cs="Times New Roman"/>
          <w:sz w:val="28"/>
          <w:szCs w:val="28"/>
        </w:rPr>
        <w:t xml:space="preserve"> б</w:t>
      </w:r>
      <w:r w:rsidRPr="00A25A4C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ольшинству пациентов с острыми кровотечениями из верхних отделов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желудочно-кишечного тракта рекомендовано раннее проведение эндоскопии (в </w:t>
      </w:r>
      <w:r w:rsidRPr="00497F8F">
        <w:rPr>
          <w:rFonts w:ascii="Times New Roman" w:eastAsia="MyriadPro-Regular" w:hAnsi="Times New Roman" w:cs="Times New Roman"/>
          <w:b/>
          <w:color w:val="231F20"/>
          <w:sz w:val="28"/>
          <w:szCs w:val="28"/>
          <w:lang w:eastAsia="en-US"/>
        </w:rPr>
        <w:t>течение 24 часов)</w:t>
      </w:r>
      <w:r>
        <w:rPr>
          <w:rFonts w:ascii="Times New Roman" w:eastAsia="MyriadPro-Regular" w:hAnsi="Times New Roman" w:cs="Times New Roman"/>
          <w:b/>
          <w:color w:val="231F20"/>
          <w:sz w:val="28"/>
          <w:szCs w:val="28"/>
          <w:lang w:eastAsia="en-US"/>
        </w:rPr>
        <w:t xml:space="preserve">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(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val="en-US" w:eastAsia="en-US"/>
        </w:rPr>
        <w:t>B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, 2++).</w:t>
      </w:r>
      <w:r>
        <w:rPr>
          <w:rFonts w:ascii="Times New Roman" w:eastAsia="MyriadPro-Regular" w:hAnsi="Times New Roman" w:cs="Times New Roman"/>
          <w:b/>
          <w:color w:val="231F20"/>
          <w:sz w:val="28"/>
          <w:szCs w:val="28"/>
          <w:lang w:eastAsia="en-US"/>
        </w:rPr>
        <w:t xml:space="preserve"> </w:t>
      </w:r>
      <w:r w:rsidRPr="00497F8F">
        <w:rPr>
          <w:rFonts w:ascii="Times New Roman" w:hAnsi="Times New Roman" w:cs="Times New Roman"/>
          <w:sz w:val="28"/>
          <w:szCs w:val="28"/>
        </w:rPr>
        <w:t>При кровотечениях из нижних отделов ЖКТ и относительно стабильном состоянии пациента показана ФКС после подготовки в течение 24 часов.</w:t>
      </w:r>
      <w:r w:rsidRPr="00A25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7D9" w:rsidRDefault="00FB37D9" w:rsidP="008E3343">
      <w:pPr>
        <w:widowControl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</w:r>
    </w:p>
    <w:p w:rsidR="001B60B4" w:rsidRPr="00A25A4C" w:rsidRDefault="001B60B4" w:rsidP="001B60B4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  <w:u w:val="single"/>
        </w:rPr>
        <w:t xml:space="preserve">При задержке </w:t>
      </w:r>
      <w:r>
        <w:rPr>
          <w:rStyle w:val="11"/>
          <w:color w:val="000000"/>
          <w:sz w:val="28"/>
          <w:szCs w:val="28"/>
          <w:u w:val="single"/>
        </w:rPr>
        <w:t xml:space="preserve">выполнения ФГДС </w:t>
      </w:r>
      <w:r w:rsidR="001E5A41">
        <w:rPr>
          <w:rStyle w:val="11"/>
          <w:color w:val="000000"/>
          <w:sz w:val="28"/>
          <w:szCs w:val="28"/>
          <w:u w:val="single"/>
        </w:rPr>
        <w:t xml:space="preserve">в </w:t>
      </w:r>
      <w:r w:rsidR="001E5A41" w:rsidRPr="008E3343">
        <w:rPr>
          <w:rStyle w:val="11"/>
          <w:b/>
          <w:sz w:val="28"/>
          <w:szCs w:val="28"/>
        </w:rPr>
        <w:t>СтОСМП</w:t>
      </w:r>
      <w:r>
        <w:rPr>
          <w:rStyle w:val="11"/>
          <w:color w:val="000000"/>
          <w:sz w:val="28"/>
          <w:szCs w:val="28"/>
        </w:rPr>
        <w:t xml:space="preserve"> (</w:t>
      </w:r>
      <w:r w:rsidR="001E5A41">
        <w:rPr>
          <w:rStyle w:val="11"/>
          <w:color w:val="000000"/>
          <w:sz w:val="28"/>
          <w:szCs w:val="28"/>
        </w:rPr>
        <w:t>при задержке госпитализации, при длительной транспортировке</w:t>
      </w:r>
      <w:r>
        <w:rPr>
          <w:rStyle w:val="11"/>
          <w:color w:val="000000"/>
          <w:sz w:val="28"/>
          <w:szCs w:val="28"/>
        </w:rPr>
        <w:t>) т</w:t>
      </w:r>
      <w:r w:rsidRPr="00A25A4C">
        <w:rPr>
          <w:rStyle w:val="11"/>
          <w:color w:val="000000"/>
          <w:sz w:val="28"/>
          <w:szCs w:val="28"/>
        </w:rPr>
        <w:t>аки</w:t>
      </w:r>
      <w:r>
        <w:rPr>
          <w:rStyle w:val="11"/>
          <w:color w:val="000000"/>
          <w:sz w:val="28"/>
          <w:szCs w:val="28"/>
        </w:rPr>
        <w:t>м</w:t>
      </w:r>
      <w:r w:rsidRPr="00A25A4C">
        <w:rPr>
          <w:rStyle w:val="11"/>
          <w:color w:val="000000"/>
          <w:sz w:val="28"/>
          <w:szCs w:val="28"/>
        </w:rPr>
        <w:t xml:space="preserve"> больны</w:t>
      </w:r>
      <w:r>
        <w:rPr>
          <w:rStyle w:val="11"/>
          <w:color w:val="000000"/>
          <w:sz w:val="28"/>
          <w:szCs w:val="28"/>
        </w:rPr>
        <w:t>м</w:t>
      </w:r>
      <w:r w:rsidRPr="00A25A4C">
        <w:rPr>
          <w:rStyle w:val="11"/>
          <w:color w:val="000000"/>
          <w:sz w:val="28"/>
          <w:szCs w:val="28"/>
        </w:rPr>
        <w:t xml:space="preserve"> целесообразно введение:</w:t>
      </w:r>
    </w:p>
    <w:p w:rsidR="001E5A41" w:rsidRDefault="001B60B4" w:rsidP="001B60B4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rStyle w:val="11"/>
          <w:color w:val="000000"/>
          <w:sz w:val="28"/>
          <w:szCs w:val="28"/>
        </w:rPr>
      </w:pPr>
      <w:r w:rsidRPr="00410137">
        <w:rPr>
          <w:rStyle w:val="11"/>
          <w:color w:val="000000"/>
          <w:sz w:val="28"/>
          <w:szCs w:val="28"/>
        </w:rPr>
        <w:t>- При кровотечении из верхних отделов пищеварительного тракта предположительно язвенного характера и синдроме Маллори-Вейсс - в/в  медленно, в течение 2 мин инфузионных форм блокаторов протонной помпы (40-80 мг) или Н2-гистаминоблокаторов 40 мг (предвари</w:t>
      </w:r>
      <w:r w:rsidRPr="00410137">
        <w:rPr>
          <w:rStyle w:val="11"/>
          <w:color w:val="000000"/>
          <w:sz w:val="28"/>
          <w:szCs w:val="28"/>
        </w:rPr>
        <w:softHyphen/>
        <w:t>тельно развести в 10 мл 0,9% р-ра натрия хлорида).</w:t>
      </w:r>
    </w:p>
    <w:p w:rsidR="001B60B4" w:rsidRPr="00410137" w:rsidRDefault="001B60B4" w:rsidP="001B60B4">
      <w:pPr>
        <w:pStyle w:val="a3"/>
        <w:shd w:val="clear" w:color="auto" w:fill="auto"/>
        <w:suppressAutoHyphens/>
        <w:spacing w:after="0" w:line="240" w:lineRule="auto"/>
        <w:ind w:left="80" w:firstLine="628"/>
        <w:jc w:val="both"/>
        <w:rPr>
          <w:sz w:val="28"/>
          <w:szCs w:val="28"/>
        </w:rPr>
      </w:pPr>
      <w:r w:rsidRPr="00410137">
        <w:rPr>
          <w:color w:val="000000"/>
          <w:sz w:val="28"/>
          <w:szCs w:val="28"/>
          <w:shd w:val="clear" w:color="auto" w:fill="FFFFFF"/>
        </w:rPr>
        <w:lastRenderedPageBreak/>
        <w:t>Согласно международным рекомендациям доэндоскопическое лечение ингибиторами протонной помпы  (А, 1++) может быть целесообразным для повышения информативности ФГДС и снижения потребности в эндоскопическом вмешательстве, однако такое лечение не должно задерживать проведение эндоскопии.</w:t>
      </w:r>
      <w:r w:rsidRPr="00410137">
        <w:rPr>
          <w:rStyle w:val="11"/>
          <w:color w:val="000000"/>
          <w:sz w:val="28"/>
          <w:szCs w:val="28"/>
        </w:rPr>
        <w:t xml:space="preserve"> </w:t>
      </w:r>
    </w:p>
    <w:p w:rsidR="001B60B4" w:rsidRPr="00B1583E" w:rsidRDefault="001B60B4" w:rsidP="001B60B4">
      <w:pPr>
        <w:pStyle w:val="a3"/>
        <w:shd w:val="clear" w:color="auto" w:fill="auto"/>
        <w:tabs>
          <w:tab w:val="left" w:pos="228"/>
        </w:tabs>
        <w:suppressAutoHyphens/>
        <w:spacing w:after="0" w:line="240" w:lineRule="auto"/>
        <w:ind w:left="60" w:right="20" w:firstLine="0"/>
        <w:jc w:val="both"/>
        <w:rPr>
          <w:rStyle w:val="11"/>
          <w:b/>
          <w:color w:val="FF0000"/>
          <w:sz w:val="28"/>
          <w:szCs w:val="28"/>
          <w:shd w:val="clear" w:color="auto" w:fill="auto"/>
        </w:rPr>
      </w:pPr>
      <w:r w:rsidRPr="00410137">
        <w:rPr>
          <w:rStyle w:val="11"/>
          <w:sz w:val="28"/>
          <w:szCs w:val="28"/>
          <w:shd w:val="clear" w:color="auto" w:fill="auto"/>
        </w:rPr>
        <w:tab/>
      </w:r>
      <w:r w:rsidRPr="00410137">
        <w:rPr>
          <w:rStyle w:val="11"/>
          <w:sz w:val="28"/>
          <w:szCs w:val="28"/>
          <w:shd w:val="clear" w:color="auto" w:fill="auto"/>
        </w:rPr>
        <w:tab/>
        <w:t xml:space="preserve">- При кровотечении предположительно из варикозно-расширенных вен пищевода и желудка – в/в болюсно синтетический аналог вазопрессина </w:t>
      </w:r>
      <w:r w:rsidRPr="001E5A41">
        <w:rPr>
          <w:rStyle w:val="11"/>
          <w:sz w:val="28"/>
          <w:szCs w:val="28"/>
          <w:shd w:val="clear" w:color="auto" w:fill="auto"/>
        </w:rPr>
        <w:t xml:space="preserve">терлипрессин в дозе 2 мг или синтетические аналоги соматостатина </w:t>
      </w:r>
      <w:r w:rsidRPr="001E5A41">
        <w:rPr>
          <w:rStyle w:val="11"/>
          <w:color w:val="000000"/>
          <w:sz w:val="28"/>
          <w:szCs w:val="28"/>
        </w:rPr>
        <w:t>октреотид (сандостатин) в дозе 0,1 мг в/в капельно (допустимо п/к введение), что отражено</w:t>
      </w:r>
      <w:r w:rsidRPr="00410137">
        <w:rPr>
          <w:rStyle w:val="11"/>
          <w:color w:val="000000"/>
          <w:sz w:val="28"/>
          <w:szCs w:val="28"/>
        </w:rPr>
        <w:t xml:space="preserve"> в зарубежных международных и национальных рекомендациях </w:t>
      </w:r>
      <w:r w:rsidRPr="00410137">
        <w:rPr>
          <w:color w:val="000000"/>
          <w:sz w:val="28"/>
          <w:szCs w:val="28"/>
          <w:shd w:val="clear" w:color="auto" w:fill="FFFFFF"/>
        </w:rPr>
        <w:t>(А, 1+)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1B60B4" w:rsidRPr="00B1583E" w:rsidRDefault="001B60B4" w:rsidP="001B60B4">
      <w:pPr>
        <w:pStyle w:val="a3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b/>
          <w:color w:val="FF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- При тяжелом кровотечении (признаках геморрагического шока) на фоне активации фибринолиза возможно применение </w:t>
      </w:r>
      <w:r w:rsidRPr="00A25A4C">
        <w:rPr>
          <w:color w:val="000000"/>
          <w:sz w:val="28"/>
          <w:szCs w:val="28"/>
          <w:shd w:val="clear" w:color="auto" w:fill="FFFFFF"/>
        </w:rPr>
        <w:t xml:space="preserve">750 мг (10 мг/кг) </w:t>
      </w:r>
      <w:r w:rsidRPr="009174B8">
        <w:rPr>
          <w:color w:val="000000"/>
          <w:sz w:val="28"/>
          <w:szCs w:val="28"/>
          <w:shd w:val="clear" w:color="auto" w:fill="FFFFFF"/>
        </w:rPr>
        <w:t>транексамовой кислоты на 200 мл физ. р</w:t>
      </w:r>
      <w:r w:rsidRPr="00A25A4C">
        <w:rPr>
          <w:color w:val="000000"/>
          <w:sz w:val="28"/>
          <w:szCs w:val="28"/>
          <w:shd w:val="clear" w:color="auto" w:fill="FFFFFF"/>
        </w:rPr>
        <w:t>-ра</w:t>
      </w:r>
      <w:r w:rsidRPr="00A25A4C">
        <w:rPr>
          <w:rStyle w:val="11"/>
          <w:color w:val="000000"/>
          <w:sz w:val="28"/>
          <w:szCs w:val="28"/>
        </w:rPr>
        <w:t xml:space="preserve">, однако её эффективность при профузном кровотечении не доказана в РКИ и не подтверждена в многоцентровых </w:t>
      </w:r>
      <w:r w:rsidRPr="00410137">
        <w:rPr>
          <w:rStyle w:val="11"/>
          <w:color w:val="000000"/>
          <w:sz w:val="28"/>
          <w:szCs w:val="28"/>
        </w:rPr>
        <w:t xml:space="preserve">исследованиях, международных и зарубежных национальных рекомендациях </w:t>
      </w:r>
      <w:r>
        <w:rPr>
          <w:rStyle w:val="11"/>
          <w:color w:val="000000"/>
          <w:sz w:val="28"/>
          <w:szCs w:val="28"/>
        </w:rPr>
        <w:t>(</w:t>
      </w:r>
      <w:r>
        <w:rPr>
          <w:rStyle w:val="11"/>
          <w:color w:val="000000"/>
          <w:sz w:val="28"/>
          <w:szCs w:val="28"/>
          <w:lang w:val="en-US"/>
        </w:rPr>
        <w:t>D</w:t>
      </w:r>
      <w:r>
        <w:rPr>
          <w:rStyle w:val="11"/>
          <w:color w:val="000000"/>
          <w:sz w:val="28"/>
          <w:szCs w:val="28"/>
        </w:rPr>
        <w:t>,3)</w:t>
      </w:r>
      <w:r w:rsidR="001E5A41">
        <w:rPr>
          <w:rStyle w:val="11"/>
          <w:color w:val="000000"/>
          <w:sz w:val="28"/>
          <w:szCs w:val="28"/>
        </w:rPr>
        <w:t>.</w:t>
      </w:r>
      <w:r>
        <w:rPr>
          <w:rStyle w:val="11"/>
          <w:color w:val="000000"/>
          <w:sz w:val="28"/>
          <w:szCs w:val="28"/>
        </w:rPr>
        <w:t xml:space="preserve"> </w:t>
      </w:r>
    </w:p>
    <w:p w:rsidR="001B60B4" w:rsidRPr="00A25A4C" w:rsidRDefault="001B60B4" w:rsidP="008E3343">
      <w:pPr>
        <w:widowControl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B37D9" w:rsidRPr="00A25A4C" w:rsidRDefault="00FB37D9" w:rsidP="008E3343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Больные, находящиеся в критическом состоянии с нестабильными  показателями гемодинамики, минуя </w:t>
      </w:r>
      <w:r w:rsidRPr="008E3343">
        <w:rPr>
          <w:rStyle w:val="11"/>
          <w:sz w:val="28"/>
          <w:szCs w:val="28"/>
        </w:rPr>
        <w:t>СтОСМП</w:t>
      </w:r>
      <w:r w:rsidRPr="00A25A4C">
        <w:rPr>
          <w:rFonts w:ascii="Times New Roman" w:hAnsi="Times New Roman" w:cs="Times New Roman"/>
          <w:sz w:val="28"/>
          <w:szCs w:val="28"/>
        </w:rPr>
        <w:t>, направляются в ОРИТ (БИТ) или операционную, где на фоне интенсивной терапии проводится  комплекс диагностических мероприятий, в т.ч. экстренная лечебно-диагности</w:t>
      </w:r>
      <w:r w:rsidRPr="00A25A4C">
        <w:rPr>
          <w:rFonts w:ascii="Times New Roman" w:hAnsi="Times New Roman" w:cs="Times New Roman"/>
          <w:sz w:val="28"/>
          <w:szCs w:val="28"/>
        </w:rPr>
        <w:softHyphen/>
        <w:t>чес</w:t>
      </w:r>
      <w:r w:rsidRPr="00A25A4C">
        <w:rPr>
          <w:rFonts w:ascii="Times New Roman" w:hAnsi="Times New Roman" w:cs="Times New Roman"/>
          <w:sz w:val="28"/>
          <w:szCs w:val="28"/>
        </w:rPr>
        <w:softHyphen/>
      </w:r>
      <w:r w:rsidRPr="00A25A4C">
        <w:rPr>
          <w:rFonts w:ascii="Times New Roman" w:hAnsi="Times New Roman" w:cs="Times New Roman"/>
          <w:sz w:val="28"/>
          <w:szCs w:val="28"/>
        </w:rPr>
        <w:softHyphen/>
      </w:r>
      <w:r w:rsidRPr="00A25A4C">
        <w:rPr>
          <w:rFonts w:ascii="Times New Roman" w:hAnsi="Times New Roman" w:cs="Times New Roman"/>
          <w:sz w:val="28"/>
          <w:szCs w:val="28"/>
        </w:rPr>
        <w:softHyphen/>
        <w:t>кая ФГДС.</w:t>
      </w:r>
    </w:p>
    <w:p w:rsidR="00FB37D9" w:rsidRPr="00A25A4C" w:rsidRDefault="00FB37D9" w:rsidP="008E3343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 xml:space="preserve">Больные  с </w:t>
      </w:r>
      <w:r w:rsidRPr="00A25A4C">
        <w:rPr>
          <w:rFonts w:ascii="Times New Roman" w:hAnsi="Times New Roman" w:cs="Times New Roman"/>
          <w:b/>
          <w:sz w:val="28"/>
          <w:szCs w:val="28"/>
        </w:rPr>
        <w:t xml:space="preserve"> тяжелыми ЖКК </w:t>
      </w:r>
      <w:r w:rsidRPr="00A25A4C">
        <w:rPr>
          <w:rFonts w:ascii="Times New Roman" w:hAnsi="Times New Roman" w:cs="Times New Roman"/>
          <w:sz w:val="28"/>
          <w:szCs w:val="28"/>
        </w:rPr>
        <w:t>перемещаются по стационару только на каталке.</w:t>
      </w:r>
    </w:p>
    <w:p w:rsidR="00FB37D9" w:rsidRPr="00A25A4C" w:rsidRDefault="00FB37D9" w:rsidP="00A25A4C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7D9" w:rsidRPr="00A25A4C" w:rsidRDefault="00FB37D9" w:rsidP="008E3343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>Пациенты,  отнесенные к группе «</w:t>
      </w:r>
      <w:r w:rsidRPr="00A25A4C">
        <w:rPr>
          <w:rFonts w:ascii="Times New Roman" w:hAnsi="Times New Roman" w:cs="Times New Roman"/>
          <w:b/>
          <w:sz w:val="28"/>
          <w:szCs w:val="28"/>
        </w:rPr>
        <w:t>нетяжелое ЖКК»,</w:t>
      </w:r>
      <w:r w:rsidRPr="00A25A4C">
        <w:rPr>
          <w:rFonts w:ascii="Times New Roman" w:hAnsi="Times New Roman" w:cs="Times New Roman"/>
          <w:sz w:val="28"/>
          <w:szCs w:val="28"/>
        </w:rPr>
        <w:t xml:space="preserve"> подлежат обследованию в условиях </w:t>
      </w:r>
      <w:r w:rsidRPr="007D5208">
        <w:rPr>
          <w:rStyle w:val="11"/>
          <w:sz w:val="28"/>
          <w:szCs w:val="28"/>
        </w:rPr>
        <w:t>СтОСМП</w:t>
      </w:r>
      <w:r w:rsidRPr="00A25A4C">
        <w:rPr>
          <w:rFonts w:ascii="Times New Roman" w:hAnsi="Times New Roman" w:cs="Times New Roman"/>
          <w:sz w:val="28"/>
          <w:szCs w:val="28"/>
        </w:rPr>
        <w:t xml:space="preserve"> и кабинета ФГДС (</w:t>
      </w:r>
      <w:r w:rsidRPr="00A25A4C">
        <w:rPr>
          <w:rFonts w:ascii="Times New Roman" w:hAnsi="Times New Roman" w:cs="Times New Roman"/>
          <w:sz w:val="28"/>
          <w:szCs w:val="28"/>
          <w:u w:val="single"/>
        </w:rPr>
        <w:t>ФГДС, ФКС  в течение 24 часов</w:t>
      </w:r>
      <w:r w:rsidRPr="00A25A4C">
        <w:rPr>
          <w:rFonts w:ascii="Times New Roman" w:hAnsi="Times New Roman" w:cs="Times New Roman"/>
          <w:sz w:val="28"/>
          <w:szCs w:val="28"/>
        </w:rPr>
        <w:t xml:space="preserve">), а в дальнейшем </w:t>
      </w:r>
      <w:r w:rsidRPr="00A25A4C">
        <w:rPr>
          <w:rFonts w:ascii="Times New Roman" w:hAnsi="Times New Roman" w:cs="Times New Roman"/>
          <w:b/>
          <w:sz w:val="28"/>
          <w:szCs w:val="28"/>
        </w:rPr>
        <w:t>большинству из</w:t>
      </w:r>
      <w:r w:rsidRPr="00A25A4C">
        <w:rPr>
          <w:rFonts w:ascii="Times New Roman" w:hAnsi="Times New Roman" w:cs="Times New Roman"/>
          <w:sz w:val="28"/>
          <w:szCs w:val="28"/>
        </w:rPr>
        <w:t xml:space="preserve"> них показано лечение и наблюдение в профильном </w:t>
      </w:r>
      <w:r>
        <w:rPr>
          <w:rFonts w:ascii="Times New Roman" w:hAnsi="Times New Roman" w:cs="Times New Roman"/>
          <w:sz w:val="28"/>
          <w:szCs w:val="28"/>
        </w:rPr>
        <w:t>хирургическом отделении</w:t>
      </w:r>
      <w:r w:rsidRPr="00A25A4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B37D9" w:rsidRPr="00A25A4C" w:rsidRDefault="00FB37D9" w:rsidP="008E3343">
      <w:pPr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После ФГДС в условиях кабинета эндоскопии и установления источника кровотечения больные с нетяжелым ЯК и низким риском рецидива </w:t>
      </w:r>
      <w:r w:rsidRPr="00A25A4C">
        <w:rPr>
          <w:rFonts w:ascii="Times New Roman" w:hAnsi="Times New Roman" w:cs="Times New Roman"/>
          <w:bCs/>
          <w:sz w:val="28"/>
          <w:szCs w:val="28"/>
        </w:rPr>
        <w:t>(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F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F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) подлежат </w:t>
      </w:r>
      <w:r w:rsidRPr="00A25A4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консервативному лечению в условиях специализированного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хирургического отделения</w:t>
      </w:r>
      <w:r w:rsidRPr="00A25A4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B37D9" w:rsidRPr="00A25A4C" w:rsidRDefault="00FB37D9" w:rsidP="00A25A4C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Согласно Международным рекомендациям, пациенты с острым кровотечением и низким риском рецидива кровотечения и летального исхода, согласно заключению, сделанному на основании клинических и эндоскопических критериев, могут быть выписаны сразу после эндоскопического исследования</w:t>
      </w:r>
      <w:r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 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(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val="en-US" w:eastAsia="en-US"/>
        </w:rPr>
        <w:t>B</w:t>
      </w:r>
      <w:r w:rsidRPr="00497F8F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, 2++).</w:t>
      </w: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both"/>
        <w:rPr>
          <w:rStyle w:val="11"/>
          <w:color w:val="000000"/>
          <w:sz w:val="28"/>
          <w:szCs w:val="28"/>
        </w:rPr>
      </w:pPr>
    </w:p>
    <w:p w:rsidR="00FB37D9" w:rsidRPr="00A25A4C" w:rsidRDefault="00FB37D9" w:rsidP="00A25A4C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both"/>
        <w:rPr>
          <w:rStyle w:val="11"/>
          <w:color w:val="000000"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4403BD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FB37D9" w:rsidRDefault="00FB37D9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  <w:r w:rsidRPr="007D5208">
        <w:rPr>
          <w:rStyle w:val="11"/>
          <w:b/>
          <w:sz w:val="28"/>
          <w:szCs w:val="28"/>
        </w:rPr>
        <w:lastRenderedPageBreak/>
        <w:t>Литература</w:t>
      </w:r>
    </w:p>
    <w:p w:rsidR="004403BD" w:rsidRPr="007D5208" w:rsidRDefault="004403BD" w:rsidP="007D5208">
      <w:pPr>
        <w:pStyle w:val="a3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Style w:val="11"/>
          <w:b/>
          <w:sz w:val="28"/>
          <w:szCs w:val="28"/>
        </w:rPr>
      </w:pPr>
    </w:p>
    <w:p w:rsidR="00FB37D9" w:rsidRPr="0003483A" w:rsidRDefault="00FB37D9" w:rsidP="0086244A">
      <w:pPr>
        <w:pStyle w:val="1"/>
        <w:numPr>
          <w:ilvl w:val="0"/>
          <w:numId w:val="18"/>
        </w:numPr>
        <w:suppressAutoHyphens/>
        <w:spacing w:before="0" w:beforeAutospacing="0" w:after="0" w:afterAutospacing="0"/>
        <w:jc w:val="both"/>
        <w:rPr>
          <w:b w:val="0"/>
          <w:sz w:val="28"/>
          <w:szCs w:val="28"/>
          <w:lang w:val="en-US"/>
        </w:rPr>
      </w:pPr>
      <w:r w:rsidRPr="0003483A">
        <w:rPr>
          <w:rStyle w:val="authornames"/>
          <w:b w:val="0"/>
          <w:sz w:val="28"/>
          <w:szCs w:val="28"/>
          <w:lang w:val="en-US"/>
        </w:rPr>
        <w:t xml:space="preserve">Barkun A.N., Bardou M.,  Kuipers E.J. </w:t>
      </w:r>
      <w:r w:rsidRPr="0003483A">
        <w:rPr>
          <w:b w:val="0"/>
          <w:sz w:val="28"/>
          <w:szCs w:val="28"/>
          <w:lang w:val="en-US"/>
        </w:rPr>
        <w:t xml:space="preserve">International Consensus Recommendations on the Management of Patients With Nonvariceal Upper Gastrointestinal Bleeding// </w:t>
      </w:r>
      <w:r w:rsidRPr="0086244A">
        <w:rPr>
          <w:rStyle w:val="ae"/>
          <w:b w:val="0"/>
          <w:i w:val="0"/>
          <w:iCs/>
          <w:sz w:val="28"/>
          <w:szCs w:val="28"/>
          <w:lang w:val="en-US"/>
        </w:rPr>
        <w:t>Ann. Intern. Med</w:t>
      </w:r>
      <w:r w:rsidRPr="0086244A">
        <w:rPr>
          <w:b w:val="0"/>
          <w:i/>
          <w:sz w:val="28"/>
          <w:szCs w:val="28"/>
          <w:lang w:val="en-US"/>
        </w:rPr>
        <w:t>.-</w:t>
      </w:r>
      <w:r w:rsidRPr="0003483A">
        <w:rPr>
          <w:rStyle w:val="year"/>
          <w:b w:val="0"/>
          <w:sz w:val="28"/>
          <w:szCs w:val="28"/>
          <w:lang w:val="en-US"/>
        </w:rPr>
        <w:t xml:space="preserve">2010.- Vol. </w:t>
      </w:r>
      <w:r w:rsidRPr="0003483A">
        <w:rPr>
          <w:b w:val="0"/>
          <w:sz w:val="28"/>
          <w:szCs w:val="28"/>
          <w:lang w:val="en-US"/>
        </w:rPr>
        <w:t>152, №2.- P. 101-113.</w:t>
      </w:r>
    </w:p>
    <w:p w:rsidR="00FB37D9" w:rsidRPr="0003483A" w:rsidRDefault="00A53011" w:rsidP="0086244A">
      <w:pPr>
        <w:widowControl/>
        <w:numPr>
          <w:ilvl w:val="0"/>
          <w:numId w:val="18"/>
        </w:numPr>
        <w:shd w:val="clear" w:color="auto" w:fill="FFFFFF"/>
        <w:suppressAutoHyphens/>
        <w:jc w:val="both"/>
        <w:rPr>
          <w:rStyle w:val="af0"/>
          <w:rFonts w:ascii="Times New Roman" w:hAnsi="Times New Roman"/>
          <w:b w:val="0"/>
          <w:bCs/>
          <w:color w:val="auto"/>
          <w:sz w:val="28"/>
          <w:szCs w:val="28"/>
          <w:lang w:val="en-US"/>
        </w:rPr>
      </w:pPr>
      <w:hyperlink r:id="rId7" w:anchor="FN#FN" w:history="1">
        <w:r w:rsidR="00FB37D9" w:rsidRPr="0003483A">
          <w:rPr>
            <w:rStyle w:val="af"/>
            <w:rFonts w:ascii="Times New Roman" w:hAnsi="Times New Roman"/>
            <w:color w:val="auto"/>
            <w:sz w:val="28"/>
            <w:szCs w:val="28"/>
            <w:lang w:val="en-US"/>
          </w:rPr>
          <w:t xml:space="preserve">Barkun A.N., Bardou M., Marshall J. K. </w:t>
        </w:r>
      </w:hyperlink>
      <w:r w:rsidR="00FB37D9"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>Consensus Recommendations for Managing Patients with Nonvariceal Upper Gastrointestinal Bleeding //</w:t>
      </w:r>
      <w:r w:rsidR="00FB37D9"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Ann. Intern. Med.-</w:t>
      </w:r>
      <w:r w:rsidR="00FB37D9" w:rsidRPr="0003483A">
        <w:rPr>
          <w:rStyle w:val="af0"/>
          <w:rFonts w:ascii="Times New Roman" w:hAnsi="Times New Roman"/>
          <w:b w:val="0"/>
          <w:bCs/>
          <w:color w:val="auto"/>
          <w:sz w:val="28"/>
          <w:szCs w:val="28"/>
          <w:lang w:val="en-US"/>
        </w:rPr>
        <w:t>2003.- Vol. 139, № 10.- P. 843-857.</w:t>
      </w:r>
    </w:p>
    <w:p w:rsidR="00FB37D9" w:rsidRPr="0086244A" w:rsidRDefault="00FB37D9" w:rsidP="0086244A">
      <w:pPr>
        <w:pStyle w:val="a9"/>
        <w:numPr>
          <w:ilvl w:val="0"/>
          <w:numId w:val="18"/>
        </w:numPr>
        <w:shd w:val="clear" w:color="auto" w:fill="FFFFFF"/>
        <w:suppressAutoHyphens/>
        <w:jc w:val="both"/>
        <w:rPr>
          <w:sz w:val="28"/>
          <w:szCs w:val="28"/>
          <w:lang w:val="en-US"/>
        </w:rPr>
      </w:pPr>
      <w:r w:rsidRPr="0003483A">
        <w:rPr>
          <w:bCs/>
          <w:sz w:val="28"/>
          <w:szCs w:val="28"/>
          <w:lang w:val="en-US"/>
        </w:rPr>
        <w:t xml:space="preserve">Blatchford O. </w:t>
      </w:r>
      <w:r w:rsidRPr="0003483A">
        <w:rPr>
          <w:sz w:val="28"/>
          <w:szCs w:val="28"/>
          <w:lang w:val="en-US"/>
        </w:rPr>
        <w:t>A risk score to predict need for treatment for upper gastrointestinal haemorrhage /</w:t>
      </w:r>
      <w:r w:rsidRPr="0003483A">
        <w:rPr>
          <w:bCs/>
          <w:sz w:val="28"/>
          <w:szCs w:val="28"/>
          <w:lang w:val="en-US"/>
        </w:rPr>
        <w:t xml:space="preserve"> O. Blatchford</w:t>
      </w:r>
      <w:r w:rsidRPr="0003483A">
        <w:rPr>
          <w:sz w:val="28"/>
          <w:szCs w:val="28"/>
          <w:lang w:val="en-US"/>
        </w:rPr>
        <w:t xml:space="preserve">, W.R. Murray, M. Blatchford // </w:t>
      </w:r>
      <w:r w:rsidRPr="0003483A">
        <w:rPr>
          <w:iCs/>
          <w:sz w:val="28"/>
          <w:szCs w:val="28"/>
          <w:lang w:val="en-US"/>
        </w:rPr>
        <w:t xml:space="preserve">Lancet. </w:t>
      </w:r>
      <w:r w:rsidRPr="0003483A">
        <w:rPr>
          <w:sz w:val="28"/>
          <w:szCs w:val="28"/>
          <w:lang w:val="en-US"/>
        </w:rPr>
        <w:t xml:space="preserve">– 2000. – Vol. </w:t>
      </w:r>
      <w:r w:rsidRPr="0003483A">
        <w:rPr>
          <w:bCs/>
          <w:sz w:val="28"/>
          <w:szCs w:val="28"/>
          <w:lang w:val="en-US"/>
        </w:rPr>
        <w:t xml:space="preserve">356. </w:t>
      </w:r>
      <w:r w:rsidRPr="0003483A">
        <w:rPr>
          <w:sz w:val="28"/>
          <w:szCs w:val="28"/>
          <w:lang w:val="en-US"/>
        </w:rPr>
        <w:t>–</w:t>
      </w:r>
      <w:r w:rsidRPr="0003483A">
        <w:rPr>
          <w:bCs/>
          <w:sz w:val="28"/>
          <w:szCs w:val="28"/>
          <w:lang w:val="en-US"/>
        </w:rPr>
        <w:t xml:space="preserve"> P. </w:t>
      </w:r>
      <w:r w:rsidRPr="0003483A">
        <w:rPr>
          <w:sz w:val="28"/>
          <w:szCs w:val="28"/>
          <w:lang w:val="en-US"/>
        </w:rPr>
        <w:t>1318–21.</w:t>
      </w:r>
    </w:p>
    <w:p w:rsidR="00FB37D9" w:rsidRPr="0003483A" w:rsidRDefault="00FB37D9" w:rsidP="0086244A">
      <w:pPr>
        <w:widowControl/>
        <w:numPr>
          <w:ilvl w:val="0"/>
          <w:numId w:val="18"/>
        </w:numPr>
        <w:shd w:val="clear" w:color="auto" w:fill="FFFFFF"/>
        <w:suppressAutoHyphens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British Society of Gastroenterology Endoscopy Section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. Non-variceal upper gastrointestinal haemorrhage: guidelines // </w:t>
      </w:r>
      <w:r w:rsidRPr="0003483A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Gut.-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2002.- Vol. </w:t>
      </w: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51,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suppl. IV.- iv1-6.</w:t>
      </w:r>
    </w:p>
    <w:p w:rsidR="00FB37D9" w:rsidRPr="0086244A" w:rsidRDefault="00FB37D9" w:rsidP="0086244A">
      <w:pPr>
        <w:pStyle w:val="a9"/>
        <w:numPr>
          <w:ilvl w:val="0"/>
          <w:numId w:val="18"/>
        </w:numPr>
        <w:suppressAutoHyphens/>
        <w:autoSpaceDE w:val="0"/>
        <w:autoSpaceDN w:val="0"/>
        <w:adjustRightInd w:val="0"/>
        <w:rPr>
          <w:sz w:val="28"/>
          <w:szCs w:val="28"/>
          <w:lang w:val="en-US" w:eastAsia="en-US"/>
        </w:rPr>
      </w:pPr>
      <w:r w:rsidRPr="0003483A">
        <w:rPr>
          <w:sz w:val="28"/>
          <w:szCs w:val="28"/>
          <w:lang w:val="en-US"/>
        </w:rPr>
        <w:t>National Institute for Health and Clinical Excellence (NICE). Acute upper gastrointestinal bleeding: management. London (UK): National Institute for Health and Clinical Excellence (NICE).- 2012.</w:t>
      </w:r>
      <w:r w:rsidRPr="0003483A">
        <w:rPr>
          <w:sz w:val="28"/>
          <w:szCs w:val="28"/>
        </w:rPr>
        <w:t>-</w:t>
      </w:r>
      <w:r w:rsidRPr="0003483A">
        <w:rPr>
          <w:sz w:val="28"/>
          <w:szCs w:val="28"/>
          <w:lang w:val="en-US"/>
        </w:rPr>
        <w:t xml:space="preserve"> Jun.</w:t>
      </w:r>
      <w:r w:rsidRPr="0003483A">
        <w:rPr>
          <w:sz w:val="28"/>
          <w:szCs w:val="28"/>
        </w:rPr>
        <w:t>-</w:t>
      </w:r>
      <w:r w:rsidRPr="0003483A">
        <w:rPr>
          <w:sz w:val="28"/>
          <w:szCs w:val="28"/>
          <w:lang w:val="en-US"/>
        </w:rPr>
        <w:t xml:space="preserve"> 23 p. (Clinical guideline; no. 141). </w:t>
      </w:r>
    </w:p>
    <w:p w:rsidR="00FB37D9" w:rsidRPr="0086244A" w:rsidRDefault="00FB37D9" w:rsidP="0086244A">
      <w:pPr>
        <w:pStyle w:val="a9"/>
        <w:numPr>
          <w:ilvl w:val="0"/>
          <w:numId w:val="18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6244A">
        <w:rPr>
          <w:sz w:val="28"/>
          <w:szCs w:val="28"/>
          <w:lang w:val="en-US" w:eastAsia="en-US"/>
        </w:rPr>
        <w:t>Franchis R. Revising consensus in portal hypertension: Report of the Baveno V consensus workshop on methodology of diagnosis and therapy in portal hypertension// Journal of Hepatology.- 2010.- Vol. 53.- P. 762–768.</w:t>
      </w:r>
    </w:p>
    <w:p w:rsidR="00FB37D9" w:rsidRPr="0086244A" w:rsidRDefault="00FB37D9" w:rsidP="0086244A">
      <w:pPr>
        <w:pStyle w:val="a9"/>
        <w:numPr>
          <w:ilvl w:val="0"/>
          <w:numId w:val="18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86244A">
        <w:rPr>
          <w:bCs/>
          <w:sz w:val="28"/>
          <w:szCs w:val="28"/>
          <w:lang w:val="en-US"/>
        </w:rPr>
        <w:t>British Society of Gastroenterology Endoscopy Section</w:t>
      </w:r>
      <w:r w:rsidRPr="0086244A">
        <w:rPr>
          <w:sz w:val="28"/>
          <w:szCs w:val="28"/>
          <w:lang w:val="en-US"/>
        </w:rPr>
        <w:t xml:space="preserve">. Non-variceal upper gastrointestinal haemorrhage: guidelines // </w:t>
      </w:r>
      <w:r w:rsidRPr="0086244A">
        <w:rPr>
          <w:iCs/>
          <w:sz w:val="28"/>
          <w:szCs w:val="28"/>
          <w:lang w:val="en-US"/>
        </w:rPr>
        <w:t>Gut.-</w:t>
      </w:r>
      <w:r w:rsidRPr="0086244A">
        <w:rPr>
          <w:sz w:val="28"/>
          <w:szCs w:val="28"/>
          <w:lang w:val="en-US"/>
        </w:rPr>
        <w:t xml:space="preserve"> 2002.- Vol. </w:t>
      </w:r>
      <w:r w:rsidRPr="0086244A">
        <w:rPr>
          <w:bCs/>
          <w:sz w:val="28"/>
          <w:szCs w:val="28"/>
          <w:lang w:val="en-US"/>
        </w:rPr>
        <w:t>51,</w:t>
      </w:r>
      <w:r w:rsidRPr="0086244A">
        <w:rPr>
          <w:sz w:val="28"/>
          <w:szCs w:val="28"/>
          <w:lang w:val="en-US"/>
        </w:rPr>
        <w:t xml:space="preserve"> suppl. IV.- iv1-6.</w:t>
      </w:r>
    </w:p>
    <w:p w:rsidR="00FB37D9" w:rsidRPr="0003483A" w:rsidRDefault="00FB37D9" w:rsidP="0086244A">
      <w:pPr>
        <w:widowControl/>
        <w:numPr>
          <w:ilvl w:val="0"/>
          <w:numId w:val="18"/>
        </w:numPr>
        <w:shd w:val="clear" w:color="auto" w:fill="FFFFFF"/>
        <w:suppressAutoHyphens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Rockall T.A. 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>Risk assessment after acute upper gastrointestinal haemorrhage /</w:t>
      </w: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T.A. Rockall [</w:t>
      </w:r>
      <w:r w:rsidRPr="0003483A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et al.]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// </w:t>
      </w:r>
      <w:r w:rsidRPr="0003483A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 xml:space="preserve">Gut. 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– 1996. – Vol. </w:t>
      </w: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38. 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>–</w:t>
      </w:r>
      <w:r w:rsidRPr="0003483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P. </w:t>
      </w:r>
      <w:r w:rsidRPr="0003483A">
        <w:rPr>
          <w:rFonts w:ascii="Times New Roman" w:hAnsi="Times New Roman" w:cs="Times New Roman"/>
          <w:color w:val="auto"/>
          <w:sz w:val="28"/>
          <w:szCs w:val="28"/>
          <w:lang w:val="en-US"/>
        </w:rPr>
        <w:t>316–21.</w:t>
      </w: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4403BD" w:rsidRDefault="004403BD" w:rsidP="007D5208">
      <w:pPr>
        <w:suppressAutoHyphens/>
        <w:ind w:firstLine="567"/>
        <w:jc w:val="both"/>
        <w:rPr>
          <w:rStyle w:val="af0"/>
          <w:rFonts w:ascii="Times New Roman" w:hAnsi="Times New Roman"/>
          <w:sz w:val="28"/>
          <w:szCs w:val="28"/>
        </w:rPr>
      </w:pPr>
    </w:p>
    <w:p w:rsidR="00FB37D9" w:rsidRPr="007D5208" w:rsidRDefault="00FB37D9" w:rsidP="004403BD">
      <w:pPr>
        <w:suppressAutoHyphens/>
        <w:ind w:firstLine="567"/>
        <w:jc w:val="center"/>
        <w:rPr>
          <w:rStyle w:val="af0"/>
          <w:rFonts w:ascii="Times New Roman" w:hAnsi="Times New Roman"/>
          <w:sz w:val="28"/>
          <w:szCs w:val="28"/>
        </w:rPr>
      </w:pPr>
      <w:r w:rsidRPr="007D5208">
        <w:rPr>
          <w:rStyle w:val="af0"/>
          <w:rFonts w:ascii="Times New Roman" w:hAnsi="Times New Roman"/>
          <w:sz w:val="28"/>
          <w:szCs w:val="28"/>
        </w:rPr>
        <w:lastRenderedPageBreak/>
        <w:t>Приложение</w:t>
      </w:r>
    </w:p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Сила рекомендаций (А-</w:t>
      </w:r>
      <w:r w:rsidRPr="007D5208">
        <w:rPr>
          <w:rStyle w:val="af0"/>
          <w:rFonts w:ascii="Times New Roman" w:hAnsi="Times New Roman"/>
          <w:b w:val="0"/>
          <w:sz w:val="28"/>
          <w:szCs w:val="28"/>
          <w:lang w:val="en-US"/>
        </w:rPr>
        <w:t>D</w:t>
      </w:r>
      <w:r w:rsidRPr="007D5208">
        <w:rPr>
          <w:rStyle w:val="af0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center" w:pos="4153"/>
                <w:tab w:val="right" w:pos="8306"/>
              </w:tabs>
              <w:suppressAutoHyphens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FB37D9" w:rsidRPr="007D5208" w:rsidRDefault="00FB37D9" w:rsidP="007D5208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center" w:pos="4153"/>
                <w:tab w:val="right" w:pos="8306"/>
              </w:tabs>
              <w:suppressAutoHyphens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FB37D9" w:rsidRPr="007D5208" w:rsidTr="00334220">
        <w:tc>
          <w:tcPr>
            <w:tcW w:w="1648" w:type="dxa"/>
          </w:tcPr>
          <w:p w:rsidR="00FB37D9" w:rsidRPr="007D5208" w:rsidRDefault="00FB37D9" w:rsidP="00334220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FB37D9" w:rsidRPr="007D5208" w:rsidRDefault="00FB37D9" w:rsidP="00334220">
            <w:pPr>
              <w:shd w:val="clear" w:color="auto" w:fill="FFFFFF"/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FB37D9" w:rsidRPr="007D5208" w:rsidRDefault="00FB37D9" w:rsidP="007D5208">
      <w:pPr>
        <w:shd w:val="clear" w:color="auto" w:fill="FFFFFF"/>
        <w:tabs>
          <w:tab w:val="num" w:pos="828"/>
        </w:tabs>
        <w:suppressAutoHyphens/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37D9" w:rsidRPr="007D5208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FB37D9" w:rsidRPr="007D5208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FB37D9" w:rsidRPr="007D5208" w:rsidRDefault="00FB37D9" w:rsidP="00A25A4C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Fonts w:ascii="Times New Roman" w:hAnsi="Times New Roman" w:cs="Times New Roman"/>
          <w:sz w:val="28"/>
          <w:szCs w:val="28"/>
        </w:rPr>
      </w:pPr>
    </w:p>
    <w:p w:rsidR="00FB37D9" w:rsidRPr="007D5208" w:rsidRDefault="00FB37D9" w:rsidP="00A25A4C">
      <w:pPr>
        <w:suppressAutoHyphens/>
        <w:rPr>
          <w:rFonts w:ascii="Times New Roman" w:hAnsi="Times New Roman" w:cs="Times New Roman"/>
          <w:color w:val="auto"/>
          <w:sz w:val="28"/>
          <w:szCs w:val="28"/>
        </w:rPr>
      </w:pPr>
    </w:p>
    <w:p w:rsidR="00FB37D9" w:rsidRPr="007D5208" w:rsidRDefault="00FB37D9" w:rsidP="00A25A4C">
      <w:pPr>
        <w:suppressAutoHyphens/>
        <w:rPr>
          <w:rFonts w:ascii="Times New Roman" w:hAnsi="Times New Roman" w:cs="Times New Roman"/>
          <w:sz w:val="28"/>
          <w:szCs w:val="28"/>
        </w:rPr>
      </w:pPr>
    </w:p>
    <w:sectPr w:rsidR="00FB37D9" w:rsidRPr="007D5208" w:rsidSect="00D53D19">
      <w:headerReference w:type="default" r:id="rId8"/>
      <w:pgSz w:w="11906" w:h="16838"/>
      <w:pgMar w:top="1134" w:right="851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8FA" w:rsidRDefault="008758FA" w:rsidP="003A1D27">
      <w:r>
        <w:separator/>
      </w:r>
    </w:p>
  </w:endnote>
  <w:endnote w:type="continuationSeparator" w:id="0">
    <w:p w:rsidR="008758FA" w:rsidRDefault="008758FA" w:rsidP="003A1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8FA" w:rsidRDefault="008758FA" w:rsidP="003A1D27">
      <w:r>
        <w:separator/>
      </w:r>
    </w:p>
  </w:footnote>
  <w:footnote w:type="continuationSeparator" w:id="0">
    <w:p w:rsidR="008758FA" w:rsidRDefault="008758FA" w:rsidP="003A1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7D9" w:rsidRDefault="00FB37D9">
    <w:pPr>
      <w:pStyle w:val="aa"/>
      <w:jc w:val="center"/>
    </w:pPr>
  </w:p>
  <w:p w:rsidR="00FB37D9" w:rsidRDefault="00FB37D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multilevel"/>
    <w:tmpl w:val="0000006A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00006D"/>
    <w:multiLevelType w:val="multilevel"/>
    <w:tmpl w:val="0000006C"/>
    <w:lvl w:ilvl="0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A7552C3"/>
    <w:multiLevelType w:val="hybridMultilevel"/>
    <w:tmpl w:val="95F08768"/>
    <w:lvl w:ilvl="0" w:tplc="0DE42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5433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B829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E8E89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9A6C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41A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0E1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A266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56C6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EB2A0B"/>
    <w:multiLevelType w:val="hybridMultilevel"/>
    <w:tmpl w:val="5FC0A6A4"/>
    <w:lvl w:ilvl="0" w:tplc="56A09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8E6D1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32DD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1D06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1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1475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3F85F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6A28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087B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24766"/>
    <w:multiLevelType w:val="hybridMultilevel"/>
    <w:tmpl w:val="A4C2589C"/>
    <w:lvl w:ilvl="0" w:tplc="F52E7E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C0B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3836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E76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C13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0CEF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3A0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967A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EC5A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1535C"/>
    <w:multiLevelType w:val="hybridMultilevel"/>
    <w:tmpl w:val="06AC6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001C7A"/>
    <w:multiLevelType w:val="hybridMultilevel"/>
    <w:tmpl w:val="7424FE86"/>
    <w:lvl w:ilvl="0" w:tplc="13D085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7C25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9A70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E40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4B7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5F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6200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AED3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BA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325ECB"/>
    <w:multiLevelType w:val="hybridMultilevel"/>
    <w:tmpl w:val="7A4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C0718"/>
    <w:multiLevelType w:val="hybridMultilevel"/>
    <w:tmpl w:val="9B34A03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4EB0C97"/>
    <w:multiLevelType w:val="hybridMultilevel"/>
    <w:tmpl w:val="59744B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87117F"/>
    <w:multiLevelType w:val="hybridMultilevel"/>
    <w:tmpl w:val="F394202E"/>
    <w:lvl w:ilvl="0" w:tplc="CDE41E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7AEA2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53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82D3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64F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8AE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CBB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00BA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C28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A350F4"/>
    <w:multiLevelType w:val="hybridMultilevel"/>
    <w:tmpl w:val="E7EABBCA"/>
    <w:lvl w:ilvl="0" w:tplc="CC9CF1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BA13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80D9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ECB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B0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825E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629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22AE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A9B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0B46B5"/>
    <w:multiLevelType w:val="hybridMultilevel"/>
    <w:tmpl w:val="E21C0C20"/>
    <w:lvl w:ilvl="0" w:tplc="89D08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4A12A5D"/>
    <w:multiLevelType w:val="hybridMultilevel"/>
    <w:tmpl w:val="F0C204CA"/>
    <w:lvl w:ilvl="0" w:tplc="FC0E46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38D4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06CA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3A5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6F9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6AEA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03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E4CC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4A8E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C31C4C"/>
    <w:multiLevelType w:val="hybridMultilevel"/>
    <w:tmpl w:val="7F22D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9B8637B"/>
    <w:multiLevelType w:val="hybridMultilevel"/>
    <w:tmpl w:val="E1D2F5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F33A28"/>
    <w:multiLevelType w:val="hybridMultilevel"/>
    <w:tmpl w:val="8610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B19C2"/>
    <w:multiLevelType w:val="hybridMultilevel"/>
    <w:tmpl w:val="72A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1C520E"/>
    <w:multiLevelType w:val="hybridMultilevel"/>
    <w:tmpl w:val="5944F18C"/>
    <w:lvl w:ilvl="0" w:tplc="44B8A0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066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0232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4A1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A8C2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67F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18DC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C6F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E0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204FAA"/>
    <w:multiLevelType w:val="hybridMultilevel"/>
    <w:tmpl w:val="651C5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5B3FC5"/>
    <w:multiLevelType w:val="hybridMultilevel"/>
    <w:tmpl w:val="EEEED2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8"/>
  </w:num>
  <w:num w:numId="5">
    <w:abstractNumId w:val="5"/>
  </w:num>
  <w:num w:numId="6">
    <w:abstractNumId w:val="10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4"/>
  </w:num>
  <w:num w:numId="12">
    <w:abstractNumId w:val="7"/>
  </w:num>
  <w:num w:numId="13">
    <w:abstractNumId w:val="8"/>
  </w:num>
  <w:num w:numId="14">
    <w:abstractNumId w:val="16"/>
  </w:num>
  <w:num w:numId="15">
    <w:abstractNumId w:val="9"/>
  </w:num>
  <w:num w:numId="16">
    <w:abstractNumId w:val="15"/>
  </w:num>
  <w:num w:numId="17">
    <w:abstractNumId w:val="12"/>
  </w:num>
  <w:num w:numId="18">
    <w:abstractNumId w:val="20"/>
  </w:num>
  <w:num w:numId="19">
    <w:abstractNumId w:val="17"/>
  </w:num>
  <w:num w:numId="20">
    <w:abstractNumId w:val="14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F5A"/>
    <w:rsid w:val="000007F8"/>
    <w:rsid w:val="0001547C"/>
    <w:rsid w:val="0002292C"/>
    <w:rsid w:val="0003483A"/>
    <w:rsid w:val="00041246"/>
    <w:rsid w:val="000A04F3"/>
    <w:rsid w:val="00165FCA"/>
    <w:rsid w:val="001A2CFE"/>
    <w:rsid w:val="001B60B4"/>
    <w:rsid w:val="001C6083"/>
    <w:rsid w:val="001E5A41"/>
    <w:rsid w:val="001F163A"/>
    <w:rsid w:val="00233145"/>
    <w:rsid w:val="002416FE"/>
    <w:rsid w:val="00243211"/>
    <w:rsid w:val="00297F7A"/>
    <w:rsid w:val="002B0E18"/>
    <w:rsid w:val="002B333F"/>
    <w:rsid w:val="00334220"/>
    <w:rsid w:val="003612EA"/>
    <w:rsid w:val="00367E6C"/>
    <w:rsid w:val="003A1D27"/>
    <w:rsid w:val="00410137"/>
    <w:rsid w:val="004403BD"/>
    <w:rsid w:val="004768BD"/>
    <w:rsid w:val="00497F8F"/>
    <w:rsid w:val="004B61C6"/>
    <w:rsid w:val="00534DFE"/>
    <w:rsid w:val="00545CDC"/>
    <w:rsid w:val="005718D1"/>
    <w:rsid w:val="006347FF"/>
    <w:rsid w:val="00671547"/>
    <w:rsid w:val="006901EF"/>
    <w:rsid w:val="006D5575"/>
    <w:rsid w:val="006E6CCE"/>
    <w:rsid w:val="006F2A68"/>
    <w:rsid w:val="00711334"/>
    <w:rsid w:val="00771734"/>
    <w:rsid w:val="007A5BB2"/>
    <w:rsid w:val="007D5208"/>
    <w:rsid w:val="0084664D"/>
    <w:rsid w:val="00852409"/>
    <w:rsid w:val="0086244A"/>
    <w:rsid w:val="008758FA"/>
    <w:rsid w:val="00894B46"/>
    <w:rsid w:val="008B24D2"/>
    <w:rsid w:val="008B4972"/>
    <w:rsid w:val="008C5F41"/>
    <w:rsid w:val="008E3343"/>
    <w:rsid w:val="00901F04"/>
    <w:rsid w:val="009032AA"/>
    <w:rsid w:val="009174B8"/>
    <w:rsid w:val="0094789E"/>
    <w:rsid w:val="00A13F60"/>
    <w:rsid w:val="00A25A4C"/>
    <w:rsid w:val="00A44763"/>
    <w:rsid w:val="00A527A5"/>
    <w:rsid w:val="00A53011"/>
    <w:rsid w:val="00A73F78"/>
    <w:rsid w:val="00A90141"/>
    <w:rsid w:val="00AB2F98"/>
    <w:rsid w:val="00AC2967"/>
    <w:rsid w:val="00AD0E24"/>
    <w:rsid w:val="00B1583E"/>
    <w:rsid w:val="00B549F2"/>
    <w:rsid w:val="00B95E86"/>
    <w:rsid w:val="00BA2059"/>
    <w:rsid w:val="00BC072F"/>
    <w:rsid w:val="00C02DC0"/>
    <w:rsid w:val="00C64BB0"/>
    <w:rsid w:val="00C76A21"/>
    <w:rsid w:val="00C90C65"/>
    <w:rsid w:val="00C96A88"/>
    <w:rsid w:val="00CA6B0C"/>
    <w:rsid w:val="00CB3699"/>
    <w:rsid w:val="00D53D19"/>
    <w:rsid w:val="00D64B7B"/>
    <w:rsid w:val="00DB723C"/>
    <w:rsid w:val="00DD360E"/>
    <w:rsid w:val="00DE6CA2"/>
    <w:rsid w:val="00E46699"/>
    <w:rsid w:val="00E56150"/>
    <w:rsid w:val="00E9543C"/>
    <w:rsid w:val="00EA23E9"/>
    <w:rsid w:val="00ED0033"/>
    <w:rsid w:val="00F408F7"/>
    <w:rsid w:val="00F604D8"/>
    <w:rsid w:val="00FB1E55"/>
    <w:rsid w:val="00FB37D9"/>
    <w:rsid w:val="00FC1F5A"/>
    <w:rsid w:val="00FD146F"/>
    <w:rsid w:val="00FE3688"/>
    <w:rsid w:val="00FF02D3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5A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B1E55"/>
    <w:pPr>
      <w:widowControl/>
      <w:spacing w:before="100" w:beforeAutospacing="1" w:after="100" w:afterAutospacing="1"/>
      <w:outlineLvl w:val="0"/>
    </w:pPr>
    <w:rPr>
      <w:rFonts w:ascii="Times New Roman" w:eastAsia="Calibri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1E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4">
    <w:name w:val="Основной текст + Курсив"/>
    <w:basedOn w:val="11"/>
    <w:uiPriority w:val="99"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40">
    <w:name w:val="Основной текст (4) + Не курсив"/>
    <w:basedOn w:val="4"/>
    <w:uiPriority w:val="99"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styleId="a3">
    <w:name w:val="Body Text"/>
    <w:basedOn w:val="a"/>
    <w:link w:val="11"/>
    <w:uiPriority w:val="99"/>
    <w:rsid w:val="00FC1F5A"/>
    <w:pPr>
      <w:shd w:val="clear" w:color="auto" w:fill="FFFFFF"/>
      <w:spacing w:after="780" w:line="216" w:lineRule="exact"/>
      <w:ind w:hanging="480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character" w:customStyle="1" w:styleId="BodyTextChar1">
    <w:name w:val="Body Text Char1"/>
    <w:basedOn w:val="a0"/>
    <w:uiPriority w:val="99"/>
    <w:semiHidden/>
    <w:rsid w:val="00A85168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FC1F5A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6">
    <w:name w:val="Подпись к таблице_"/>
    <w:basedOn w:val="a0"/>
    <w:link w:val="12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2">
    <w:name w:val="Заголовок №8 (2)_"/>
    <w:basedOn w:val="a0"/>
    <w:link w:val="821"/>
    <w:uiPriority w:val="99"/>
    <w:locked/>
    <w:rsid w:val="00FC1F5A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72">
    <w:name w:val="Заголовок №7 (2)_"/>
    <w:basedOn w:val="a0"/>
    <w:link w:val="721"/>
    <w:uiPriority w:val="99"/>
    <w:locked/>
    <w:rsid w:val="00FC1F5A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9">
    <w:name w:val="Заголовок №9_"/>
    <w:basedOn w:val="a0"/>
    <w:link w:val="91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0">
    <w:name w:val="Заголовок №9"/>
    <w:basedOn w:val="9"/>
    <w:uiPriority w:val="99"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7">
    <w:name w:val="Подпись к таблице"/>
    <w:basedOn w:val="a6"/>
    <w:uiPriority w:val="99"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20">
    <w:name w:val="Заголовок №8 (2)"/>
    <w:basedOn w:val="82"/>
    <w:uiPriority w:val="99"/>
    <w:rsid w:val="00FC1F5A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FC1F5A"/>
    <w:rPr>
      <w:rFonts w:ascii="Calibri" w:hAnsi="Calibri" w:cs="Calibri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C1F5A"/>
    <w:pPr>
      <w:shd w:val="clear" w:color="auto" w:fill="FFFFFF"/>
      <w:spacing w:line="197" w:lineRule="exact"/>
      <w:jc w:val="both"/>
    </w:pPr>
    <w:rPr>
      <w:rFonts w:ascii="Times New Roman" w:eastAsia="Calibri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12">
    <w:name w:val="Подпись к таблице1"/>
    <w:basedOn w:val="a"/>
    <w:link w:val="a6"/>
    <w:uiPriority w:val="99"/>
    <w:rsid w:val="00FC1F5A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paragraph" w:customStyle="1" w:styleId="821">
    <w:name w:val="Заголовок №8 (2)1"/>
    <w:basedOn w:val="a"/>
    <w:link w:val="82"/>
    <w:uiPriority w:val="99"/>
    <w:rsid w:val="00FC1F5A"/>
    <w:pPr>
      <w:shd w:val="clear" w:color="auto" w:fill="FFFFFF"/>
      <w:spacing w:before="240" w:after="120" w:line="240" w:lineRule="atLeast"/>
      <w:ind w:hanging="260"/>
      <w:jc w:val="center"/>
      <w:outlineLvl w:val="7"/>
    </w:pPr>
    <w:rPr>
      <w:rFonts w:ascii="Calibri" w:eastAsia="Calibri" w:hAnsi="Calibri" w:cs="Calibri"/>
      <w:b/>
      <w:bCs/>
      <w:color w:val="auto"/>
      <w:sz w:val="23"/>
      <w:szCs w:val="23"/>
      <w:lang w:eastAsia="en-US"/>
    </w:rPr>
  </w:style>
  <w:style w:type="paragraph" w:customStyle="1" w:styleId="721">
    <w:name w:val="Заголовок №7 (2)1"/>
    <w:basedOn w:val="a"/>
    <w:link w:val="72"/>
    <w:uiPriority w:val="99"/>
    <w:rsid w:val="00FC1F5A"/>
    <w:pPr>
      <w:shd w:val="clear" w:color="auto" w:fill="FFFFFF"/>
      <w:spacing w:before="240" w:after="120" w:line="240" w:lineRule="atLeast"/>
      <w:jc w:val="center"/>
      <w:outlineLvl w:val="6"/>
    </w:pPr>
    <w:rPr>
      <w:rFonts w:ascii="Calibri" w:eastAsia="Calibri" w:hAnsi="Calibri" w:cs="Calibri"/>
      <w:b/>
      <w:bCs/>
      <w:color w:val="auto"/>
      <w:sz w:val="26"/>
      <w:szCs w:val="26"/>
      <w:lang w:eastAsia="en-US"/>
    </w:rPr>
  </w:style>
  <w:style w:type="paragraph" w:customStyle="1" w:styleId="91">
    <w:name w:val="Заголовок №91"/>
    <w:basedOn w:val="a"/>
    <w:link w:val="9"/>
    <w:uiPriority w:val="99"/>
    <w:rsid w:val="00FC1F5A"/>
    <w:pPr>
      <w:shd w:val="clear" w:color="auto" w:fill="FFFFFF"/>
      <w:spacing w:line="197" w:lineRule="exact"/>
      <w:ind w:firstLine="340"/>
      <w:jc w:val="both"/>
      <w:outlineLvl w:val="8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paragraph" w:styleId="a8">
    <w:name w:val="Normal (Web)"/>
    <w:basedOn w:val="a"/>
    <w:uiPriority w:val="99"/>
    <w:rsid w:val="00A527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9">
    <w:name w:val="List Paragraph"/>
    <w:basedOn w:val="a"/>
    <w:uiPriority w:val="99"/>
    <w:qFormat/>
    <w:rsid w:val="00CA6B0C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styleId="aa">
    <w:name w:val="header"/>
    <w:basedOn w:val="a"/>
    <w:link w:val="ab"/>
    <w:uiPriority w:val="99"/>
    <w:rsid w:val="003A1D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3A1D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FB1E55"/>
    <w:rPr>
      <w:rFonts w:cs="Times New Roman"/>
      <w:i/>
    </w:rPr>
  </w:style>
  <w:style w:type="character" w:customStyle="1" w:styleId="authornames">
    <w:name w:val="authornames"/>
    <w:uiPriority w:val="99"/>
    <w:rsid w:val="00FB1E55"/>
  </w:style>
  <w:style w:type="character" w:customStyle="1" w:styleId="year">
    <w:name w:val="year"/>
    <w:uiPriority w:val="99"/>
    <w:rsid w:val="00FB1E55"/>
  </w:style>
  <w:style w:type="character" w:styleId="af">
    <w:name w:val="Hyperlink"/>
    <w:basedOn w:val="a0"/>
    <w:uiPriority w:val="99"/>
    <w:rsid w:val="00FB1E55"/>
    <w:rPr>
      <w:rFonts w:cs="Times New Roman"/>
      <w:color w:val="606060"/>
      <w:u w:val="none"/>
      <w:effect w:val="none"/>
    </w:rPr>
  </w:style>
  <w:style w:type="character" w:styleId="af0">
    <w:name w:val="Strong"/>
    <w:basedOn w:val="a0"/>
    <w:uiPriority w:val="99"/>
    <w:qFormat/>
    <w:rsid w:val="00FB1E55"/>
    <w:rPr>
      <w:rFonts w:cs="Times New Roman"/>
      <w:b/>
    </w:rPr>
  </w:style>
  <w:style w:type="paragraph" w:styleId="af1">
    <w:name w:val="Balloon Text"/>
    <w:basedOn w:val="a"/>
    <w:link w:val="af2"/>
    <w:uiPriority w:val="99"/>
    <w:semiHidden/>
    <w:rsid w:val="006347F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6347FF"/>
    <w:rPr>
      <w:rFonts w:ascii="Tahoma" w:hAnsi="Tahoma" w:cs="Tahoma"/>
      <w:color w:val="000000"/>
      <w:sz w:val="16"/>
      <w:szCs w:val="1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F604D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604D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604D8"/>
    <w:rPr>
      <w:rFonts w:ascii="Courier New" w:eastAsia="Times New Roman" w:hAnsi="Courier New" w:cs="Courier New"/>
      <w:color w:val="000000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604D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604D8"/>
    <w:rPr>
      <w:rFonts w:ascii="Courier New" w:eastAsia="Times New Roman" w:hAnsi="Courier New" w:cs="Courier New"/>
      <w:b/>
      <w:bCs/>
      <w:color w:val="000000"/>
      <w:sz w:val="20"/>
      <w:szCs w:val="20"/>
    </w:rPr>
  </w:style>
  <w:style w:type="paragraph" w:styleId="2">
    <w:name w:val="Body Text Indent 2"/>
    <w:basedOn w:val="a"/>
    <w:link w:val="20"/>
    <w:rsid w:val="00A90141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spacing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A90141"/>
    <w:rPr>
      <w:rFonts w:ascii="Times New Roman" w:eastAsia="Times New Roman" w:hAnsi="Times New Roman"/>
      <w:spacing w:val="20"/>
      <w:sz w:val="24"/>
      <w:szCs w:val="20"/>
    </w:rPr>
  </w:style>
  <w:style w:type="paragraph" w:styleId="af8">
    <w:name w:val="Body Text Indent"/>
    <w:basedOn w:val="a"/>
    <w:link w:val="af9"/>
    <w:uiPriority w:val="99"/>
    <w:semiHidden/>
    <w:unhideWhenUsed/>
    <w:rsid w:val="004403BD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4403BD"/>
    <w:rPr>
      <w:rFonts w:ascii="Courier New" w:eastAsia="Times New Roman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93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5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6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5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6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1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20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2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1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nnals.org/cgi/content/full/139/10/8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2744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razumniynv</cp:lastModifiedBy>
  <cp:revision>2</cp:revision>
  <cp:lastPrinted>2013-08-19T04:29:00Z</cp:lastPrinted>
  <dcterms:created xsi:type="dcterms:W3CDTF">2013-12-06T09:20:00Z</dcterms:created>
  <dcterms:modified xsi:type="dcterms:W3CDTF">2013-12-06T09:20:00Z</dcterms:modified>
</cp:coreProperties>
</file>